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1F4AE" w14:textId="7BAAECF9" w:rsidR="007E740B" w:rsidRPr="00AE5879" w:rsidRDefault="007E740B" w:rsidP="006E6961">
      <w:pPr>
        <w:jc w:val="center"/>
        <w:rPr>
          <w:rFonts w:ascii="Arial" w:hAnsi="Arial" w:cs="Arial"/>
          <w:sz w:val="21"/>
          <w:szCs w:val="21"/>
        </w:rPr>
      </w:pPr>
      <w:r w:rsidRPr="00AE5879">
        <w:rPr>
          <w:rFonts w:ascii="Arial" w:hAnsi="Arial" w:cs="Arial"/>
          <w:sz w:val="21"/>
          <w:szCs w:val="21"/>
        </w:rPr>
        <w:t>Decreto 507 de 2023 “</w:t>
      </w:r>
      <w:r w:rsidRPr="00AE5879">
        <w:rPr>
          <w:rFonts w:ascii="Arial" w:hAnsi="Arial" w:cs="Arial"/>
          <w:i/>
          <w:iCs/>
          <w:sz w:val="21"/>
          <w:szCs w:val="21"/>
        </w:rPr>
        <w:t>Por el cual se adopta el modelo y los lineamientos para la gestión integral de los Residuos de Construcción y Demolición en Bogotá D.C., y se dictan otras disposiciones</w:t>
      </w:r>
      <w:r w:rsidRPr="00AE5879">
        <w:rPr>
          <w:rFonts w:ascii="Arial" w:hAnsi="Arial" w:cs="Arial"/>
          <w:sz w:val="21"/>
          <w:szCs w:val="21"/>
        </w:rPr>
        <w:t>”,</w:t>
      </w:r>
    </w:p>
    <w:p w14:paraId="4D1473E7" w14:textId="77777777" w:rsidR="007E740B" w:rsidRPr="00AE5879" w:rsidRDefault="007E740B" w:rsidP="007E740B">
      <w:pPr>
        <w:jc w:val="both"/>
        <w:rPr>
          <w:rFonts w:ascii="Arial" w:hAnsi="Arial" w:cs="Arial"/>
          <w:sz w:val="21"/>
          <w:szCs w:val="21"/>
        </w:rPr>
      </w:pPr>
    </w:p>
    <w:p w14:paraId="24AF43B4" w14:textId="77777777" w:rsidR="007E740B" w:rsidRDefault="007E740B" w:rsidP="006E6961">
      <w:pPr>
        <w:numPr>
          <w:ilvl w:val="0"/>
          <w:numId w:val="2"/>
        </w:numPr>
        <w:jc w:val="both"/>
        <w:rPr>
          <w:rFonts w:ascii="Arial" w:hAnsi="Arial" w:cs="Arial"/>
          <w:sz w:val="21"/>
          <w:szCs w:val="21"/>
          <w:lang w:val="es-CO"/>
        </w:rPr>
      </w:pPr>
      <w:r w:rsidRPr="00AE5879">
        <w:rPr>
          <w:rFonts w:ascii="Arial" w:hAnsi="Arial" w:cs="Arial"/>
          <w:sz w:val="21"/>
          <w:szCs w:val="21"/>
          <w:lang w:val="es-CO"/>
        </w:rPr>
        <w:t>Definir la categoría a la cual corresponden los proyectos constructivos:</w:t>
      </w:r>
    </w:p>
    <w:p w14:paraId="5320F11B" w14:textId="77777777" w:rsidR="006E6961" w:rsidRPr="00AE5879" w:rsidRDefault="006E6961" w:rsidP="006E6961">
      <w:pPr>
        <w:ind w:left="360"/>
        <w:jc w:val="both"/>
        <w:rPr>
          <w:rFonts w:ascii="Arial" w:hAnsi="Arial" w:cs="Arial"/>
          <w:sz w:val="21"/>
          <w:szCs w:val="21"/>
          <w:lang w:val="es-CO"/>
        </w:rPr>
      </w:pPr>
    </w:p>
    <w:p w14:paraId="72C5219C" w14:textId="77777777" w:rsidR="007E740B" w:rsidRPr="00AE5879" w:rsidRDefault="007E740B" w:rsidP="006E6961">
      <w:pPr>
        <w:jc w:val="both"/>
        <w:rPr>
          <w:rFonts w:ascii="Arial" w:hAnsi="Arial" w:cs="Arial"/>
          <w:b/>
          <w:i/>
          <w:sz w:val="21"/>
          <w:szCs w:val="21"/>
        </w:rPr>
      </w:pPr>
      <w:r w:rsidRPr="00AE5879">
        <w:rPr>
          <w:rFonts w:ascii="Arial" w:hAnsi="Arial" w:cs="Arial"/>
          <w:i/>
          <w:sz w:val="21"/>
          <w:szCs w:val="21"/>
        </w:rPr>
        <w:t xml:space="preserve">(…) </w:t>
      </w:r>
      <w:r w:rsidRPr="00AE5879">
        <w:rPr>
          <w:rFonts w:ascii="Arial" w:hAnsi="Arial" w:cs="Arial"/>
          <w:b/>
          <w:i/>
          <w:sz w:val="21"/>
          <w:szCs w:val="21"/>
        </w:rPr>
        <w:t>Artículo</w:t>
      </w:r>
      <w:r w:rsidRPr="00AE5879">
        <w:rPr>
          <w:rFonts w:ascii="Arial" w:hAnsi="Arial" w:cs="Arial"/>
          <w:i/>
          <w:sz w:val="21"/>
          <w:szCs w:val="21"/>
        </w:rPr>
        <w:t> </w:t>
      </w:r>
      <w:r w:rsidRPr="00AE5879">
        <w:rPr>
          <w:rFonts w:ascii="Arial" w:hAnsi="Arial" w:cs="Arial"/>
          <w:b/>
          <w:i/>
          <w:sz w:val="21"/>
          <w:szCs w:val="21"/>
        </w:rPr>
        <w:t>3. Definiciones </w:t>
      </w:r>
    </w:p>
    <w:p w14:paraId="0FA759FB" w14:textId="77777777" w:rsidR="007E740B" w:rsidRPr="00AE5879" w:rsidRDefault="007E740B" w:rsidP="006E6961">
      <w:pPr>
        <w:jc w:val="both"/>
        <w:rPr>
          <w:rFonts w:ascii="Arial" w:hAnsi="Arial" w:cs="Arial"/>
          <w:b/>
          <w:i/>
          <w:sz w:val="21"/>
          <w:szCs w:val="21"/>
        </w:rPr>
      </w:pPr>
    </w:p>
    <w:p w14:paraId="2233B2D9" w14:textId="77777777" w:rsidR="007E740B" w:rsidRPr="00AE5879" w:rsidRDefault="007E740B" w:rsidP="006E6961">
      <w:pPr>
        <w:jc w:val="both"/>
        <w:rPr>
          <w:rFonts w:ascii="Arial" w:hAnsi="Arial" w:cs="Arial"/>
          <w:b/>
          <w:i/>
          <w:sz w:val="21"/>
          <w:szCs w:val="21"/>
        </w:rPr>
      </w:pPr>
      <w:r w:rsidRPr="00AE5879">
        <w:rPr>
          <w:rFonts w:ascii="Arial" w:hAnsi="Arial" w:cs="Arial"/>
          <w:b/>
          <w:i/>
          <w:sz w:val="21"/>
          <w:szCs w:val="21"/>
        </w:rPr>
        <w:t>(…) Gran generador</w:t>
      </w:r>
    </w:p>
    <w:p w14:paraId="3460FF4E" w14:textId="77777777" w:rsidR="007E740B" w:rsidRPr="00AE5879" w:rsidRDefault="007E740B" w:rsidP="006E6961">
      <w:pPr>
        <w:jc w:val="both"/>
        <w:rPr>
          <w:rFonts w:ascii="Arial" w:hAnsi="Arial" w:cs="Arial"/>
          <w:b/>
          <w:i/>
          <w:sz w:val="21"/>
          <w:szCs w:val="21"/>
        </w:rPr>
      </w:pPr>
    </w:p>
    <w:p w14:paraId="082F3053"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3.12</w:t>
      </w:r>
      <w:r w:rsidRPr="00AE5879">
        <w:rPr>
          <w:rFonts w:ascii="Arial" w:hAnsi="Arial" w:cs="Arial"/>
          <w:i/>
          <w:sz w:val="21"/>
          <w:szCs w:val="21"/>
        </w:rPr>
        <w:t> </w:t>
      </w:r>
      <w:r w:rsidRPr="00AE5879">
        <w:rPr>
          <w:rFonts w:ascii="Arial" w:hAnsi="Arial" w:cs="Arial"/>
          <w:b/>
          <w:i/>
          <w:sz w:val="21"/>
          <w:szCs w:val="21"/>
        </w:rPr>
        <w:t>Gran generador de RCD:</w:t>
      </w:r>
      <w:r w:rsidRPr="00AE5879">
        <w:rPr>
          <w:rFonts w:ascii="Arial" w:hAnsi="Arial" w:cs="Arial"/>
          <w:i/>
          <w:sz w:val="21"/>
          <w:szCs w:val="21"/>
        </w:rPr>
        <w:t> Es el generador de RCD que cumple con las siguientes condiciones:</w:t>
      </w:r>
    </w:p>
    <w:p w14:paraId="155DA397" w14:textId="77777777" w:rsidR="007E740B" w:rsidRPr="00AE5879" w:rsidRDefault="007E740B" w:rsidP="006E6961">
      <w:pPr>
        <w:jc w:val="both"/>
        <w:rPr>
          <w:rFonts w:ascii="Arial" w:hAnsi="Arial" w:cs="Arial"/>
          <w:i/>
          <w:sz w:val="21"/>
          <w:szCs w:val="21"/>
        </w:rPr>
      </w:pPr>
    </w:p>
    <w:p w14:paraId="44599D9D"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3.12.1</w:t>
      </w:r>
      <w:r w:rsidRPr="00AE5879">
        <w:rPr>
          <w:rFonts w:ascii="Arial" w:hAnsi="Arial" w:cs="Arial"/>
          <w:i/>
          <w:sz w:val="21"/>
          <w:szCs w:val="21"/>
        </w:rPr>
        <w:t> </w:t>
      </w:r>
      <w:r w:rsidRPr="00AE5879">
        <w:rPr>
          <w:rFonts w:ascii="Arial" w:hAnsi="Arial" w:cs="Arial"/>
          <w:b/>
          <w:i/>
          <w:sz w:val="21"/>
          <w:szCs w:val="21"/>
        </w:rPr>
        <w:t>A</w:t>
      </w:r>
      <w:r w:rsidRPr="00AE5879">
        <w:rPr>
          <w:rFonts w:ascii="Arial" w:hAnsi="Arial" w:cs="Arial"/>
          <w:i/>
          <w:sz w:val="21"/>
          <w:szCs w:val="21"/>
        </w:rPr>
        <w:t>. La obra requiere la expedición de licencia de construcción en cualquiera de sus modalidades y/o licencia de intervención y ocupación del espacio público, así como los previstos en el inciso 2 del numeral 7 del artículo 2.2.6.1.1.7 y las entidades a que se refiere el parágrafo 2 del artículo 2.2.6.1.1.12 del Decreto 1077 de 2015 o la norma que lo modifique o sustituya. </w:t>
      </w:r>
      <w:r w:rsidRPr="00AE5879">
        <w:rPr>
          <w:rFonts w:ascii="Arial" w:hAnsi="Arial" w:cs="Arial"/>
          <w:b/>
          <w:i/>
          <w:sz w:val="21"/>
          <w:szCs w:val="21"/>
        </w:rPr>
        <w:t>B</w:t>
      </w:r>
      <w:r w:rsidRPr="00AE5879">
        <w:rPr>
          <w:rFonts w:ascii="Arial" w:hAnsi="Arial" w:cs="Arial"/>
          <w:i/>
          <w:sz w:val="21"/>
          <w:szCs w:val="21"/>
        </w:rPr>
        <w:t>. los proyectos que requieren licencia ambiental, y en ambos casos cuando la obra tenga un área a construir, demoler o intervenir igual o superior 2000 m2. </w:t>
      </w:r>
    </w:p>
    <w:p w14:paraId="3D006DFF"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xml:space="preserve">  </w:t>
      </w:r>
    </w:p>
    <w:p w14:paraId="5488A0EF"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r w:rsidRPr="00AE5879">
        <w:rPr>
          <w:rFonts w:ascii="Arial" w:hAnsi="Arial" w:cs="Arial"/>
          <w:b/>
          <w:i/>
          <w:sz w:val="21"/>
          <w:szCs w:val="21"/>
        </w:rPr>
        <w:t>3.12.2</w:t>
      </w:r>
      <w:r w:rsidRPr="00AE5879">
        <w:rPr>
          <w:rFonts w:ascii="Arial" w:hAnsi="Arial" w:cs="Arial"/>
          <w:i/>
          <w:sz w:val="21"/>
          <w:szCs w:val="21"/>
        </w:rPr>
        <w:t xml:space="preserve"> Obras de infraestructuras desarrolladas por entidades públicas no incluidas en el numeral anterior. (…) </w:t>
      </w:r>
    </w:p>
    <w:p w14:paraId="1892CDBD" w14:textId="77777777" w:rsidR="007E740B" w:rsidRPr="00AE5879" w:rsidRDefault="007E740B" w:rsidP="006E6961">
      <w:pPr>
        <w:jc w:val="both"/>
        <w:rPr>
          <w:rFonts w:ascii="Arial" w:hAnsi="Arial" w:cs="Arial"/>
          <w:i/>
          <w:sz w:val="21"/>
          <w:szCs w:val="21"/>
        </w:rPr>
      </w:pPr>
    </w:p>
    <w:p w14:paraId="52EB8820"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 3.18</w:t>
      </w:r>
      <w:r w:rsidRPr="00AE5879">
        <w:rPr>
          <w:rFonts w:ascii="Arial" w:hAnsi="Arial" w:cs="Arial"/>
          <w:i/>
          <w:sz w:val="21"/>
          <w:szCs w:val="21"/>
        </w:rPr>
        <w:t> </w:t>
      </w:r>
      <w:r w:rsidRPr="00AE5879">
        <w:rPr>
          <w:rFonts w:ascii="Arial" w:hAnsi="Arial" w:cs="Arial"/>
          <w:b/>
          <w:i/>
          <w:sz w:val="21"/>
          <w:szCs w:val="21"/>
        </w:rPr>
        <w:t>Pequeño generador de RCD que requiere alguna licencia: </w:t>
      </w:r>
      <w:r w:rsidRPr="00AE5879">
        <w:rPr>
          <w:rFonts w:ascii="Arial" w:hAnsi="Arial" w:cs="Arial"/>
          <w:i/>
          <w:sz w:val="21"/>
          <w:szCs w:val="21"/>
        </w:rPr>
        <w:t>Generador que requiere la expedición de licencia de construcción en cualquiera de sus modalidades y/o licencia de intervención y ocupación del espacio público y que la obra tenga un área a construir, demoler o intervenir inferior a 2000 m2.</w:t>
      </w:r>
    </w:p>
    <w:p w14:paraId="30D223DE" w14:textId="77777777" w:rsidR="007E740B" w:rsidRPr="00AE5879" w:rsidRDefault="007E740B" w:rsidP="006E6961">
      <w:pPr>
        <w:jc w:val="both"/>
        <w:rPr>
          <w:rFonts w:ascii="Arial" w:hAnsi="Arial" w:cs="Arial"/>
          <w:i/>
          <w:sz w:val="21"/>
          <w:szCs w:val="21"/>
        </w:rPr>
      </w:pPr>
    </w:p>
    <w:p w14:paraId="08B6D93D" w14:textId="77777777" w:rsidR="007E740B" w:rsidRPr="00AE5879" w:rsidRDefault="007E740B" w:rsidP="006E6961">
      <w:pPr>
        <w:numPr>
          <w:ilvl w:val="1"/>
          <w:numId w:val="1"/>
        </w:numPr>
        <w:jc w:val="both"/>
        <w:rPr>
          <w:rFonts w:ascii="Arial" w:hAnsi="Arial" w:cs="Arial"/>
          <w:i/>
          <w:sz w:val="21"/>
          <w:szCs w:val="21"/>
          <w:lang w:val="es-CO"/>
        </w:rPr>
      </w:pPr>
      <w:r w:rsidRPr="00AE5879">
        <w:rPr>
          <w:rFonts w:ascii="Arial" w:hAnsi="Arial" w:cs="Arial"/>
          <w:b/>
          <w:i/>
          <w:sz w:val="21"/>
          <w:szCs w:val="21"/>
          <w:lang w:val="es-CO"/>
        </w:rPr>
        <w:t>Pequeño generador de RCD que no requiere ninguna licencia: </w:t>
      </w:r>
      <w:r w:rsidRPr="00AE5879">
        <w:rPr>
          <w:rFonts w:ascii="Arial" w:hAnsi="Arial" w:cs="Arial"/>
          <w:i/>
          <w:sz w:val="21"/>
          <w:szCs w:val="21"/>
          <w:lang w:val="es-CO"/>
        </w:rPr>
        <w:t>Generador de RCD que</w:t>
      </w:r>
      <w:r w:rsidRPr="00AE5879">
        <w:rPr>
          <w:rFonts w:ascii="Arial" w:hAnsi="Arial" w:cs="Arial"/>
          <w:b/>
          <w:i/>
          <w:sz w:val="21"/>
          <w:szCs w:val="21"/>
          <w:lang w:val="es-CO"/>
        </w:rPr>
        <w:t> </w:t>
      </w:r>
      <w:r w:rsidRPr="00AE5879">
        <w:rPr>
          <w:rFonts w:ascii="Arial" w:hAnsi="Arial" w:cs="Arial"/>
          <w:i/>
          <w:sz w:val="21"/>
          <w:szCs w:val="21"/>
          <w:lang w:val="es-CO"/>
        </w:rPr>
        <w:t xml:space="preserve">no requiere la expedición de licencia de construcción en cualquiera de sus modalidades y/o licencia de intervención y ocupación del espacio público; este pequeño generador puede ser en inmuebles individuales o bajo el régimen de propiedad horizontal. (…) </w:t>
      </w:r>
    </w:p>
    <w:p w14:paraId="69B8A79D" w14:textId="77777777" w:rsidR="007E740B" w:rsidRPr="00AE5879" w:rsidRDefault="007E740B" w:rsidP="006E6961">
      <w:pPr>
        <w:jc w:val="both"/>
        <w:rPr>
          <w:rFonts w:ascii="Arial" w:hAnsi="Arial" w:cs="Arial"/>
          <w:i/>
          <w:sz w:val="21"/>
          <w:szCs w:val="21"/>
          <w:lang w:val="es-CO"/>
        </w:rPr>
      </w:pPr>
    </w:p>
    <w:p w14:paraId="6C03238D" w14:textId="77777777" w:rsidR="007E740B" w:rsidRPr="00AE5879" w:rsidRDefault="007E740B" w:rsidP="006E6961">
      <w:pPr>
        <w:numPr>
          <w:ilvl w:val="0"/>
          <w:numId w:val="2"/>
        </w:numPr>
        <w:jc w:val="both"/>
        <w:rPr>
          <w:rFonts w:ascii="Arial" w:hAnsi="Arial" w:cs="Arial"/>
          <w:sz w:val="21"/>
          <w:szCs w:val="21"/>
          <w:lang w:val="es-CO"/>
        </w:rPr>
      </w:pPr>
      <w:r w:rsidRPr="00AE5879">
        <w:rPr>
          <w:rFonts w:ascii="Arial" w:hAnsi="Arial" w:cs="Arial"/>
          <w:sz w:val="21"/>
          <w:szCs w:val="21"/>
          <w:lang w:val="es-CO"/>
        </w:rPr>
        <w:t xml:space="preserve">Una vez definida la categoría, se deberán identificar las obligaciones a cumplir (en caso de ser categorizado como </w:t>
      </w:r>
      <w:r w:rsidRPr="00AE5879">
        <w:rPr>
          <w:rFonts w:ascii="Arial" w:hAnsi="Arial" w:cs="Arial"/>
          <w:i/>
          <w:sz w:val="21"/>
          <w:szCs w:val="21"/>
          <w:lang w:val="es-CO"/>
        </w:rPr>
        <w:t>Gran generador de RCD o Pequeño generador de RCD que requiere alguna licencia deberá</w:t>
      </w:r>
      <w:r w:rsidRPr="00AE5879">
        <w:rPr>
          <w:rFonts w:ascii="Arial" w:hAnsi="Arial" w:cs="Arial"/>
          <w:sz w:val="21"/>
          <w:szCs w:val="21"/>
          <w:lang w:val="es-CO"/>
        </w:rPr>
        <w:t xml:space="preserve"> efectuar la inscripción ante esta entidad para la obtención del respectivo PIN-GEN (30) días hábiles previo al inicio de la obra). </w:t>
      </w:r>
    </w:p>
    <w:p w14:paraId="4F77B92E" w14:textId="77777777" w:rsidR="007E740B" w:rsidRPr="00AE5879" w:rsidRDefault="007E740B" w:rsidP="006E6961">
      <w:pPr>
        <w:jc w:val="both"/>
        <w:rPr>
          <w:rFonts w:ascii="Arial" w:hAnsi="Arial" w:cs="Arial"/>
          <w:sz w:val="21"/>
          <w:szCs w:val="21"/>
          <w:lang w:val="es-CO"/>
        </w:rPr>
      </w:pPr>
    </w:p>
    <w:p w14:paraId="3F07F559" w14:textId="77777777" w:rsidR="007E740B" w:rsidRPr="00AE5879" w:rsidRDefault="007E740B" w:rsidP="006E6961">
      <w:pPr>
        <w:numPr>
          <w:ilvl w:val="0"/>
          <w:numId w:val="3"/>
        </w:numPr>
        <w:jc w:val="both"/>
        <w:rPr>
          <w:rFonts w:ascii="Arial" w:hAnsi="Arial" w:cs="Arial"/>
          <w:b/>
          <w:i/>
          <w:sz w:val="21"/>
          <w:szCs w:val="21"/>
          <w:lang w:val="es-CO"/>
        </w:rPr>
      </w:pPr>
      <w:r w:rsidRPr="00AE5879">
        <w:rPr>
          <w:rFonts w:ascii="Arial" w:hAnsi="Arial" w:cs="Arial"/>
          <w:b/>
          <w:i/>
          <w:sz w:val="21"/>
          <w:szCs w:val="21"/>
          <w:lang w:val="es-CO"/>
        </w:rPr>
        <w:t>Obligaciones de los grandes generadores de RCD y pequeños generadores de RCD que requieren alguna licencia:</w:t>
      </w:r>
    </w:p>
    <w:p w14:paraId="2F5C36CB" w14:textId="77777777" w:rsidR="007E740B" w:rsidRDefault="007E740B" w:rsidP="006E6961">
      <w:pPr>
        <w:jc w:val="both"/>
        <w:rPr>
          <w:rFonts w:ascii="Arial" w:hAnsi="Arial" w:cs="Arial"/>
          <w:b/>
          <w:i/>
          <w:sz w:val="21"/>
          <w:szCs w:val="21"/>
        </w:rPr>
      </w:pPr>
    </w:p>
    <w:p w14:paraId="7FAECCF4"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 Artículo 32.</w:t>
      </w:r>
      <w:r w:rsidRPr="00AE5879">
        <w:rPr>
          <w:rFonts w:ascii="Arial" w:hAnsi="Arial" w:cs="Arial"/>
          <w:i/>
          <w:sz w:val="21"/>
          <w:szCs w:val="21"/>
        </w:rPr>
        <w:t> </w:t>
      </w:r>
      <w:r w:rsidRPr="00AE5879">
        <w:rPr>
          <w:rFonts w:ascii="Arial" w:hAnsi="Arial" w:cs="Arial"/>
          <w:b/>
          <w:i/>
          <w:sz w:val="21"/>
          <w:szCs w:val="21"/>
        </w:rPr>
        <w:t>Obligaciones de los grandes generadores de RCD y pequeños generadores de RCD que requieren alguna licencia: </w:t>
      </w:r>
      <w:r w:rsidRPr="00AE5879">
        <w:rPr>
          <w:rFonts w:ascii="Arial" w:hAnsi="Arial" w:cs="Arial"/>
          <w:i/>
          <w:sz w:val="21"/>
          <w:szCs w:val="21"/>
        </w:rPr>
        <w:t>Son obligaciones las siguientes:</w:t>
      </w:r>
    </w:p>
    <w:p w14:paraId="6FF9AA38"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p>
    <w:p w14:paraId="580410AA"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32.1</w:t>
      </w:r>
      <w:r w:rsidRPr="00AE5879">
        <w:rPr>
          <w:rFonts w:ascii="Arial" w:hAnsi="Arial" w:cs="Arial"/>
          <w:b/>
          <w:i/>
          <w:sz w:val="21"/>
          <w:szCs w:val="21"/>
          <w:u w:val="single"/>
        </w:rPr>
        <w:t>.</w:t>
      </w:r>
      <w:r w:rsidRPr="00AE5879">
        <w:rPr>
          <w:rFonts w:ascii="Arial" w:hAnsi="Arial" w:cs="Arial"/>
          <w:i/>
          <w:sz w:val="21"/>
          <w:szCs w:val="21"/>
          <w:u w:val="single"/>
        </w:rPr>
        <w:t xml:space="preserve"> Realizar el registro y obtener el respectivo PIN como generador de RCD (PIN-GEN), treinta (30) días hábiles previo al inicio de la obra, </w:t>
      </w:r>
      <w:r w:rsidRPr="00AE5879">
        <w:rPr>
          <w:rFonts w:ascii="Arial" w:hAnsi="Arial" w:cs="Arial"/>
          <w:i/>
          <w:sz w:val="21"/>
          <w:szCs w:val="21"/>
        </w:rPr>
        <w:t>conforme a los lineamientos que la Secretaría Distrital de Ambiente disponga en el aplicativo web de RCD o según el procedimiento que se establezca para tal fin.</w:t>
      </w:r>
    </w:p>
    <w:p w14:paraId="2F00405F" w14:textId="77777777" w:rsidR="007E740B" w:rsidRPr="00AE5879" w:rsidRDefault="007E740B" w:rsidP="006E6961">
      <w:pPr>
        <w:jc w:val="both"/>
        <w:rPr>
          <w:rFonts w:ascii="Arial" w:hAnsi="Arial" w:cs="Arial"/>
          <w:i/>
          <w:sz w:val="21"/>
          <w:szCs w:val="21"/>
        </w:rPr>
      </w:pPr>
    </w:p>
    <w:p w14:paraId="37B24498"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r w:rsidRPr="00AE5879">
        <w:rPr>
          <w:rFonts w:ascii="Arial" w:hAnsi="Arial" w:cs="Arial"/>
          <w:b/>
          <w:i/>
          <w:sz w:val="21"/>
          <w:szCs w:val="21"/>
        </w:rPr>
        <w:t>32.2.</w:t>
      </w:r>
      <w:r w:rsidRPr="00AE5879">
        <w:rPr>
          <w:rFonts w:ascii="Arial" w:hAnsi="Arial" w:cs="Arial"/>
          <w:i/>
          <w:sz w:val="21"/>
          <w:szCs w:val="21"/>
        </w:rPr>
        <w:t xml:space="preserve"> De acuerdo con los tiempos establecidos en la Resolución MADS 472 de 2017 modificada por la Resolución 1257 de 2021 o aquellas que las modifique, adicione o derogue, deberá elaborar, registrar y anexar en el aplicativo WEB de la Secretaría Distrital de Ambiente, </w:t>
      </w:r>
      <w:r w:rsidRPr="00AE5879">
        <w:rPr>
          <w:rFonts w:ascii="Arial" w:hAnsi="Arial" w:cs="Arial"/>
          <w:i/>
          <w:sz w:val="21"/>
          <w:szCs w:val="21"/>
          <w:u w:val="single"/>
        </w:rPr>
        <w:t xml:space="preserve">el </w:t>
      </w:r>
      <w:r w:rsidRPr="00AE5879">
        <w:rPr>
          <w:rFonts w:ascii="Arial" w:hAnsi="Arial" w:cs="Arial"/>
          <w:i/>
          <w:sz w:val="21"/>
          <w:szCs w:val="21"/>
          <w:u w:val="single"/>
        </w:rPr>
        <w:lastRenderedPageBreak/>
        <w:t>Programa de Manejo Ambiental de RCD 30 días hábiles previo al inicio de la obra, con la información contenido en el Anexo I del presente decreto</w:t>
      </w:r>
      <w:r w:rsidRPr="00AE5879">
        <w:rPr>
          <w:rFonts w:ascii="Arial" w:hAnsi="Arial" w:cs="Arial"/>
          <w:i/>
          <w:sz w:val="21"/>
          <w:szCs w:val="21"/>
        </w:rPr>
        <w:t xml:space="preserve">, para efectos de su control y seguimiento. En caso de que la autoridad ambiental requiera ajustes en este programa, se efectuará un único requerimiento al gran generador quien contará con un mes, contados a partir de su comunicación para subsanar lo observado. </w:t>
      </w:r>
    </w:p>
    <w:p w14:paraId="4CFE4B04" w14:textId="77777777" w:rsidR="007E740B" w:rsidRPr="00AE5879" w:rsidRDefault="007E740B" w:rsidP="006E6961">
      <w:pPr>
        <w:jc w:val="both"/>
        <w:rPr>
          <w:rFonts w:ascii="Arial" w:hAnsi="Arial" w:cs="Arial"/>
          <w:i/>
          <w:sz w:val="21"/>
          <w:szCs w:val="21"/>
        </w:rPr>
      </w:pPr>
    </w:p>
    <w:p w14:paraId="5290C373" w14:textId="77777777" w:rsidR="007E740B" w:rsidRPr="00AE5879" w:rsidRDefault="007E740B" w:rsidP="006E6961">
      <w:pPr>
        <w:jc w:val="both"/>
        <w:rPr>
          <w:rFonts w:ascii="Arial" w:hAnsi="Arial" w:cs="Arial"/>
          <w:i/>
          <w:sz w:val="21"/>
          <w:szCs w:val="21"/>
          <w:u w:val="single"/>
        </w:rPr>
      </w:pPr>
      <w:r w:rsidRPr="00AE5879">
        <w:rPr>
          <w:rFonts w:ascii="Arial" w:hAnsi="Arial" w:cs="Arial"/>
          <w:i/>
          <w:sz w:val="21"/>
          <w:szCs w:val="21"/>
        </w:rPr>
        <w:t> </w:t>
      </w:r>
      <w:r w:rsidRPr="00AE5879">
        <w:rPr>
          <w:rFonts w:ascii="Arial" w:hAnsi="Arial" w:cs="Arial"/>
          <w:i/>
          <w:sz w:val="21"/>
          <w:szCs w:val="21"/>
          <w:u w:val="single"/>
        </w:rPr>
        <w:t>En caso de no atender el requerimiento en el término establecido o en la prórroga otorgada, se entenderá que el Programa de Manejo Ambiental de RCD no cumple con los requisitos previstos y por lo mismo será objeto de las sanciones a que haya lugar. (…)</w:t>
      </w:r>
    </w:p>
    <w:p w14:paraId="16A6FB4E" w14:textId="77777777" w:rsidR="007E740B" w:rsidRPr="00AE5879" w:rsidRDefault="007E740B" w:rsidP="006E6961">
      <w:pPr>
        <w:jc w:val="both"/>
        <w:rPr>
          <w:rFonts w:ascii="Arial" w:hAnsi="Arial" w:cs="Arial"/>
          <w:i/>
          <w:sz w:val="21"/>
          <w:szCs w:val="21"/>
          <w:u w:val="single"/>
        </w:rPr>
      </w:pPr>
    </w:p>
    <w:p w14:paraId="1F03A1BA"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32.5.</w:t>
      </w:r>
      <w:r w:rsidRPr="00AE5879">
        <w:rPr>
          <w:rFonts w:ascii="Arial" w:hAnsi="Arial" w:cs="Arial"/>
          <w:i/>
          <w:sz w:val="21"/>
          <w:szCs w:val="21"/>
        </w:rPr>
        <w:t> </w:t>
      </w:r>
      <w:r w:rsidRPr="00AE5879">
        <w:rPr>
          <w:rFonts w:ascii="Arial" w:hAnsi="Arial" w:cs="Arial"/>
          <w:i/>
          <w:sz w:val="21"/>
          <w:szCs w:val="21"/>
          <w:u w:val="single"/>
        </w:rPr>
        <w:t>Cargar mensualmente en el aplicativo WEB de RCD durante la transitoriedad en la transformación digital, las constancias de gestión, emitidas por el gestor de los residuos generados con la información contenida en los anexos III, IV, V o VI según sea el caso</w:t>
      </w:r>
      <w:r w:rsidRPr="00AE5879">
        <w:rPr>
          <w:rFonts w:ascii="Arial" w:hAnsi="Arial" w:cs="Arial"/>
          <w:i/>
          <w:sz w:val="21"/>
          <w:szCs w:val="21"/>
        </w:rPr>
        <w:t>. Lo anterior permitirá conocer por parte de la Secretaría Distrital de Ambiente la trazabilidad de las transacciones del residuo gestionado.</w:t>
      </w:r>
    </w:p>
    <w:p w14:paraId="69600D7F" w14:textId="77777777" w:rsidR="007E740B" w:rsidRPr="00AE5879" w:rsidRDefault="007E740B" w:rsidP="006E6961">
      <w:pPr>
        <w:jc w:val="both"/>
        <w:rPr>
          <w:rFonts w:ascii="Arial" w:hAnsi="Arial" w:cs="Arial"/>
          <w:i/>
          <w:sz w:val="21"/>
          <w:szCs w:val="21"/>
        </w:rPr>
      </w:pPr>
    </w:p>
    <w:p w14:paraId="24F2B26E"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32.6.</w:t>
      </w:r>
      <w:r w:rsidRPr="00AE5879">
        <w:rPr>
          <w:rFonts w:ascii="Arial" w:hAnsi="Arial" w:cs="Arial"/>
          <w:i/>
          <w:sz w:val="21"/>
          <w:szCs w:val="21"/>
        </w:rPr>
        <w:t> Implementar medidas de prevención y reducción de RCD teniendo en cuenta las recomendaciones previstas en el artículo 26 del presente acto administrativo.</w:t>
      </w:r>
    </w:p>
    <w:p w14:paraId="0DB3F204" w14:textId="77777777" w:rsidR="007E740B" w:rsidRPr="00AE5879" w:rsidRDefault="007E740B" w:rsidP="006E6961">
      <w:pPr>
        <w:jc w:val="both"/>
        <w:rPr>
          <w:rFonts w:ascii="Arial" w:hAnsi="Arial" w:cs="Arial"/>
          <w:i/>
          <w:sz w:val="21"/>
          <w:szCs w:val="21"/>
        </w:rPr>
      </w:pPr>
    </w:p>
    <w:p w14:paraId="4B5844F1"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32.7.</w:t>
      </w:r>
      <w:r w:rsidRPr="00AE5879">
        <w:rPr>
          <w:rFonts w:ascii="Arial" w:hAnsi="Arial" w:cs="Arial"/>
          <w:i/>
          <w:sz w:val="21"/>
          <w:szCs w:val="21"/>
        </w:rPr>
        <w:t> Entregar los RCD, a un gestor con el PIN vigente ante la Secretaría Distrital de Ambiente.</w:t>
      </w:r>
    </w:p>
    <w:p w14:paraId="1459A1F4" w14:textId="77777777" w:rsidR="007E740B" w:rsidRPr="00AE5879" w:rsidRDefault="007E740B" w:rsidP="006E6961">
      <w:pPr>
        <w:jc w:val="both"/>
        <w:rPr>
          <w:rFonts w:ascii="Arial" w:hAnsi="Arial" w:cs="Arial"/>
          <w:i/>
          <w:sz w:val="21"/>
          <w:szCs w:val="21"/>
        </w:rPr>
      </w:pPr>
    </w:p>
    <w:p w14:paraId="4DA6BD4B"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32.8.</w:t>
      </w:r>
      <w:r w:rsidRPr="00AE5879">
        <w:rPr>
          <w:rFonts w:ascii="Arial" w:hAnsi="Arial" w:cs="Arial"/>
          <w:i/>
          <w:sz w:val="21"/>
          <w:szCs w:val="21"/>
        </w:rPr>
        <w:t> Revisar y garantizar la legalidad de los gestores a quien se les entregan los RCD y reportar a la Secretaría Distrital de Ambiente cualquier anormalidad detectada en alguno de los gestores, para ello deberá verificar en la página web de la autoridad ambiental, el directorio donde se relacionan los gestores registrados, adicionalmente para los gestores transportadores la verificación se podrá realizar a través del uso de código QR o placa del(los) vehículo(s) que presta(n) el servicio. </w:t>
      </w:r>
    </w:p>
    <w:p w14:paraId="10B8D42B" w14:textId="77777777" w:rsidR="007E740B" w:rsidRPr="00AE5879" w:rsidRDefault="007E740B" w:rsidP="006E6961">
      <w:pPr>
        <w:jc w:val="both"/>
        <w:rPr>
          <w:rFonts w:ascii="Arial" w:hAnsi="Arial" w:cs="Arial"/>
          <w:i/>
          <w:sz w:val="21"/>
          <w:szCs w:val="21"/>
        </w:rPr>
      </w:pPr>
    </w:p>
    <w:p w14:paraId="1DB03B02"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32.9.</w:t>
      </w:r>
      <w:r w:rsidRPr="00AE5879">
        <w:rPr>
          <w:rFonts w:ascii="Arial" w:hAnsi="Arial" w:cs="Arial"/>
          <w:i/>
          <w:sz w:val="21"/>
          <w:szCs w:val="21"/>
        </w:rPr>
        <w:t> Priorizar que los RCD susceptibles de tratamiento o aprovechamiento no sean entregados a sitios de disposición final, y de todas maneras si son entregados a sitios de disposición final, los mismos no serán contabilizados dentro de la meta de aprovechamiento.</w:t>
      </w:r>
    </w:p>
    <w:p w14:paraId="0CD476D9" w14:textId="77777777" w:rsidR="007E740B" w:rsidRPr="00AE5879" w:rsidRDefault="007E740B" w:rsidP="006E6961">
      <w:pPr>
        <w:jc w:val="both"/>
        <w:rPr>
          <w:rFonts w:ascii="Arial" w:hAnsi="Arial" w:cs="Arial"/>
          <w:i/>
          <w:sz w:val="21"/>
          <w:szCs w:val="21"/>
        </w:rPr>
      </w:pPr>
    </w:p>
    <w:p w14:paraId="4DE0225F" w14:textId="77777777" w:rsidR="007E740B" w:rsidRPr="00AE5879" w:rsidRDefault="007E740B" w:rsidP="006E6961">
      <w:pPr>
        <w:jc w:val="both"/>
        <w:rPr>
          <w:rFonts w:ascii="Arial" w:hAnsi="Arial" w:cs="Arial"/>
          <w:i/>
          <w:sz w:val="21"/>
          <w:szCs w:val="21"/>
          <w:u w:val="single"/>
        </w:rPr>
      </w:pPr>
      <w:r w:rsidRPr="00AE5879">
        <w:rPr>
          <w:rFonts w:ascii="Arial" w:hAnsi="Arial" w:cs="Arial"/>
          <w:b/>
          <w:i/>
          <w:sz w:val="21"/>
          <w:szCs w:val="21"/>
          <w:u w:val="single"/>
        </w:rPr>
        <w:t>32.10.</w:t>
      </w:r>
      <w:r w:rsidRPr="00AE5879">
        <w:rPr>
          <w:rFonts w:ascii="Arial" w:hAnsi="Arial" w:cs="Arial"/>
          <w:i/>
          <w:sz w:val="21"/>
          <w:szCs w:val="21"/>
          <w:u w:val="single"/>
        </w:rPr>
        <w:t> Cumplir con la guía ambiental para el sector de la construcción expedida por la Secretaría Distrital de Ambiente o el instrumento que lo modifique o sustituya.</w:t>
      </w:r>
    </w:p>
    <w:p w14:paraId="2A93718D" w14:textId="77777777" w:rsidR="007E740B" w:rsidRPr="00AE5879" w:rsidRDefault="007E740B" w:rsidP="006E6961">
      <w:pPr>
        <w:jc w:val="both"/>
        <w:rPr>
          <w:rFonts w:ascii="Arial" w:hAnsi="Arial" w:cs="Arial"/>
          <w:i/>
          <w:sz w:val="21"/>
          <w:szCs w:val="21"/>
          <w:u w:val="single"/>
        </w:rPr>
      </w:pPr>
    </w:p>
    <w:p w14:paraId="7577FC4C" w14:textId="77777777" w:rsidR="007E740B" w:rsidRPr="00AE5879" w:rsidRDefault="007E740B" w:rsidP="006E6961">
      <w:pPr>
        <w:jc w:val="both"/>
        <w:rPr>
          <w:rFonts w:ascii="Arial" w:hAnsi="Arial" w:cs="Arial"/>
          <w:i/>
          <w:sz w:val="21"/>
          <w:szCs w:val="21"/>
          <w:u w:val="single"/>
        </w:rPr>
      </w:pPr>
      <w:r w:rsidRPr="00AE5879">
        <w:rPr>
          <w:rFonts w:ascii="Arial" w:hAnsi="Arial" w:cs="Arial"/>
          <w:b/>
          <w:i/>
          <w:sz w:val="21"/>
          <w:szCs w:val="21"/>
          <w:u w:val="single"/>
        </w:rPr>
        <w:t>32.11.</w:t>
      </w:r>
      <w:r w:rsidRPr="00AE5879">
        <w:rPr>
          <w:rFonts w:ascii="Arial" w:hAnsi="Arial" w:cs="Arial"/>
          <w:i/>
          <w:sz w:val="21"/>
          <w:szCs w:val="21"/>
          <w:u w:val="single"/>
        </w:rPr>
        <w:t> Cumplir con las metas de aprovechamiento y circularidad para todos los generadores, establecidas en los artículos 44 y 46 del presente acto administrativo.</w:t>
      </w:r>
    </w:p>
    <w:p w14:paraId="1716D3CB"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p>
    <w:p w14:paraId="61C7C0AD"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32.12.</w:t>
      </w:r>
      <w:r w:rsidRPr="00AE5879">
        <w:rPr>
          <w:rFonts w:ascii="Arial" w:hAnsi="Arial" w:cs="Arial"/>
          <w:i/>
          <w:sz w:val="21"/>
          <w:szCs w:val="21"/>
        </w:rPr>
        <w:t> Solicitar a la Secretaría Distrital de Ambiente, el cierre del PIN como generador de RCD (PIN-GEN), dentro de los 30 días hábiles siguientes a la terminación de la obra, con la información contenida en el Anexo X del presente decreto y durante la transitoriedad en la transformación digital, la relación del registro en el aplicativo web de los certificados que soporten el 100% de los residuos entregados para disposición final y/o valorización en lugares autorizados, en todo caso, dando cumplimiento al Programa de Manejo Ambiental de RCD y a las metas de aprovechamiento y circularidad definidas en la presente norma.</w:t>
      </w:r>
    </w:p>
    <w:p w14:paraId="473793F3" w14:textId="77777777" w:rsidR="007E740B" w:rsidRPr="00AE5879" w:rsidRDefault="007E740B" w:rsidP="006E6961">
      <w:pPr>
        <w:jc w:val="both"/>
        <w:rPr>
          <w:rFonts w:ascii="Arial" w:hAnsi="Arial" w:cs="Arial"/>
          <w:i/>
          <w:sz w:val="21"/>
          <w:szCs w:val="21"/>
        </w:rPr>
      </w:pPr>
    </w:p>
    <w:p w14:paraId="3A33A8B8"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32.13.</w:t>
      </w:r>
      <w:r w:rsidRPr="00AE5879">
        <w:rPr>
          <w:rFonts w:ascii="Arial" w:hAnsi="Arial" w:cs="Arial"/>
          <w:i/>
          <w:sz w:val="21"/>
          <w:szCs w:val="21"/>
        </w:rPr>
        <w:t> Garantizar que el personal operativo de obra que manipula RCD cuente con la certificación de competencia laboral en “Separar escombros según procedimiento técnico y normativa ambiental”, expedida por el SENA o cualquier otro establecimiento acreditado o certificado, para ello se dará un periodo de transición de dos (2) años después de expedida la presente norma.</w:t>
      </w:r>
    </w:p>
    <w:p w14:paraId="6ADC73B5" w14:textId="77777777" w:rsidR="007E740B" w:rsidRPr="00AE5879" w:rsidRDefault="007E740B" w:rsidP="006E6961">
      <w:pPr>
        <w:jc w:val="both"/>
        <w:rPr>
          <w:rFonts w:ascii="Arial" w:hAnsi="Arial" w:cs="Arial"/>
          <w:i/>
          <w:sz w:val="21"/>
          <w:szCs w:val="21"/>
        </w:rPr>
      </w:pPr>
    </w:p>
    <w:p w14:paraId="264FD0EE"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lastRenderedPageBreak/>
        <w:t>32.14.</w:t>
      </w:r>
      <w:r w:rsidRPr="00AE5879">
        <w:rPr>
          <w:rFonts w:ascii="Arial" w:hAnsi="Arial" w:cs="Arial"/>
          <w:i/>
          <w:sz w:val="21"/>
          <w:szCs w:val="21"/>
        </w:rPr>
        <w:t> Al menos treinta (30) días hábiles antes de la gestión del material con un gestor receptor, el gran generador deberá informar a la autoridad ambiental las cantidades y tipo de RCD (según clasificación de esta norma definida en el artículo 19 aprovechable, y presentará en los reportes de cumplimiento los soportes de las cantidades aprovechadas en toneladas de material.</w:t>
      </w:r>
    </w:p>
    <w:p w14:paraId="5F0EFCC5" w14:textId="77777777" w:rsidR="007E740B" w:rsidRPr="00AE5879" w:rsidRDefault="007E740B" w:rsidP="006E6961">
      <w:pPr>
        <w:jc w:val="both"/>
        <w:rPr>
          <w:rFonts w:ascii="Arial" w:hAnsi="Arial" w:cs="Arial"/>
          <w:i/>
          <w:sz w:val="21"/>
          <w:szCs w:val="21"/>
        </w:rPr>
      </w:pPr>
    </w:p>
    <w:p w14:paraId="5D040840"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32.15.</w:t>
      </w:r>
      <w:r w:rsidRPr="00AE5879">
        <w:rPr>
          <w:rFonts w:ascii="Arial" w:hAnsi="Arial" w:cs="Arial"/>
          <w:i/>
          <w:sz w:val="21"/>
          <w:szCs w:val="21"/>
        </w:rPr>
        <w:t> En los casos en que el aprovechamiento de RCD se realice a través de un gestor receptor y esté asociado a las actividades estructurales de: uso de material de nivelación de terreno, reutilización para relleno de redes de servicios públicos, reutilización en espacio público y privado como material de relleno, recuperación de suelos degradados, reconformación de taludes y/o reciclaje para reconformación de vías, el generador deberá presentar el permiso licencia o actuación urbanística vigente del proyecto, obra o actividad en la que se hará el aprovechamiento de RCD. (…)</w:t>
      </w:r>
    </w:p>
    <w:p w14:paraId="7EBD74A9"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Subrayado y cursiva fuera de texto.</w:t>
      </w:r>
    </w:p>
    <w:p w14:paraId="4531696F" w14:textId="77777777" w:rsidR="007E740B" w:rsidRPr="00AE5879" w:rsidRDefault="007E740B" w:rsidP="006E6961">
      <w:pPr>
        <w:jc w:val="both"/>
        <w:rPr>
          <w:rFonts w:ascii="Arial" w:hAnsi="Arial" w:cs="Arial"/>
          <w:i/>
          <w:sz w:val="21"/>
          <w:szCs w:val="21"/>
        </w:rPr>
      </w:pPr>
    </w:p>
    <w:p w14:paraId="13A6B2D9" w14:textId="77777777" w:rsidR="007E740B" w:rsidRPr="00AE5879" w:rsidRDefault="007E740B" w:rsidP="006E6961">
      <w:pPr>
        <w:numPr>
          <w:ilvl w:val="0"/>
          <w:numId w:val="3"/>
        </w:numPr>
        <w:jc w:val="both"/>
        <w:rPr>
          <w:rFonts w:ascii="Arial" w:hAnsi="Arial" w:cs="Arial"/>
          <w:i/>
          <w:sz w:val="21"/>
          <w:szCs w:val="21"/>
          <w:lang w:val="es-CO"/>
        </w:rPr>
      </w:pPr>
      <w:r w:rsidRPr="00AE5879">
        <w:rPr>
          <w:rFonts w:ascii="Arial" w:hAnsi="Arial" w:cs="Arial"/>
          <w:b/>
          <w:i/>
          <w:sz w:val="21"/>
          <w:szCs w:val="21"/>
          <w:lang w:val="es-CO"/>
        </w:rPr>
        <w:t>Obligaciones de los pequeños generadores de RCD que no requieren licencia:</w:t>
      </w:r>
    </w:p>
    <w:p w14:paraId="7D27FB68"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r w:rsidRPr="00AE5879">
        <w:rPr>
          <w:rFonts w:ascii="Arial" w:hAnsi="Arial" w:cs="Arial"/>
          <w:b/>
          <w:i/>
          <w:sz w:val="21"/>
          <w:szCs w:val="21"/>
        </w:rPr>
        <w:t>(…) Artículo</w:t>
      </w:r>
      <w:r w:rsidRPr="00AE5879">
        <w:rPr>
          <w:rFonts w:ascii="Arial" w:hAnsi="Arial" w:cs="Arial"/>
          <w:i/>
          <w:sz w:val="21"/>
          <w:szCs w:val="21"/>
        </w:rPr>
        <w:t> </w:t>
      </w:r>
      <w:r w:rsidRPr="00AE5879">
        <w:rPr>
          <w:rFonts w:ascii="Arial" w:hAnsi="Arial" w:cs="Arial"/>
          <w:b/>
          <w:i/>
          <w:sz w:val="21"/>
          <w:szCs w:val="21"/>
        </w:rPr>
        <w:t>33. Obligaciones de los pequeños generadores de RCD que no requieren licencia: </w:t>
      </w:r>
      <w:r w:rsidRPr="00AE5879">
        <w:rPr>
          <w:rFonts w:ascii="Arial" w:hAnsi="Arial" w:cs="Arial"/>
          <w:i/>
          <w:sz w:val="21"/>
          <w:szCs w:val="21"/>
        </w:rPr>
        <w:t>Son obligaciones las siguientes:</w:t>
      </w:r>
    </w:p>
    <w:p w14:paraId="01E4B70D" w14:textId="77777777" w:rsidR="007E740B" w:rsidRDefault="007E740B" w:rsidP="006E6961">
      <w:pPr>
        <w:jc w:val="both"/>
        <w:rPr>
          <w:rFonts w:ascii="Arial" w:hAnsi="Arial" w:cs="Arial"/>
          <w:b/>
          <w:i/>
          <w:sz w:val="21"/>
          <w:szCs w:val="21"/>
        </w:rPr>
      </w:pPr>
    </w:p>
    <w:p w14:paraId="3E4F2159"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w:t>
      </w:r>
      <w:r w:rsidRPr="00AE5879">
        <w:rPr>
          <w:rFonts w:ascii="Arial" w:hAnsi="Arial" w:cs="Arial"/>
          <w:i/>
          <w:sz w:val="21"/>
          <w:szCs w:val="21"/>
        </w:rPr>
        <w:t> Suministrar al gestor autorizado: transportador autorizado o punto limpio, la siguiente información:</w:t>
      </w:r>
    </w:p>
    <w:p w14:paraId="7CBF32F1"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33.1.1.</w:t>
      </w:r>
      <w:r w:rsidRPr="00AE5879">
        <w:rPr>
          <w:rFonts w:ascii="Arial" w:hAnsi="Arial" w:cs="Arial"/>
          <w:i/>
          <w:sz w:val="21"/>
          <w:szCs w:val="21"/>
        </w:rPr>
        <w:t> Nombre completo </w:t>
      </w:r>
    </w:p>
    <w:p w14:paraId="4E122FB3"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33.1.2.</w:t>
      </w:r>
      <w:r w:rsidRPr="00AE5879">
        <w:rPr>
          <w:rFonts w:ascii="Arial" w:hAnsi="Arial" w:cs="Arial"/>
          <w:i/>
          <w:sz w:val="21"/>
          <w:szCs w:val="21"/>
        </w:rPr>
        <w:t> Numero de cedula de ciudadanía </w:t>
      </w:r>
    </w:p>
    <w:p w14:paraId="2ABCD273"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33.1.3.</w:t>
      </w:r>
      <w:r w:rsidRPr="00AE5879">
        <w:rPr>
          <w:rFonts w:ascii="Arial" w:hAnsi="Arial" w:cs="Arial"/>
          <w:i/>
          <w:sz w:val="21"/>
          <w:szCs w:val="21"/>
        </w:rPr>
        <w:t> Dirección </w:t>
      </w:r>
    </w:p>
    <w:p w14:paraId="28E25940"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33.1.4.</w:t>
      </w:r>
      <w:r w:rsidRPr="00AE5879">
        <w:rPr>
          <w:rFonts w:ascii="Arial" w:hAnsi="Arial" w:cs="Arial"/>
          <w:i/>
          <w:sz w:val="21"/>
          <w:szCs w:val="21"/>
        </w:rPr>
        <w:t> Correo electrónico si aplica </w:t>
      </w:r>
    </w:p>
    <w:p w14:paraId="0E86AD11"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33.1.5.</w:t>
      </w:r>
      <w:r w:rsidRPr="00AE5879">
        <w:rPr>
          <w:rFonts w:ascii="Arial" w:hAnsi="Arial" w:cs="Arial"/>
          <w:i/>
          <w:sz w:val="21"/>
          <w:szCs w:val="21"/>
        </w:rPr>
        <w:t> Celular y teléfono fijo (si lo tiene).</w:t>
      </w:r>
    </w:p>
    <w:p w14:paraId="5FAA1D38" w14:textId="77777777" w:rsidR="007E740B" w:rsidRPr="00AE5879" w:rsidRDefault="007E740B" w:rsidP="006E6961">
      <w:pPr>
        <w:jc w:val="both"/>
        <w:rPr>
          <w:rFonts w:ascii="Arial" w:hAnsi="Arial" w:cs="Arial"/>
          <w:i/>
          <w:sz w:val="21"/>
          <w:szCs w:val="21"/>
        </w:rPr>
      </w:pPr>
    </w:p>
    <w:p w14:paraId="1C2FE874"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 </w:t>
      </w:r>
      <w:r w:rsidRPr="00AE5879">
        <w:rPr>
          <w:rFonts w:ascii="Arial" w:hAnsi="Arial" w:cs="Arial"/>
          <w:b/>
          <w:i/>
          <w:sz w:val="21"/>
          <w:szCs w:val="21"/>
        </w:rPr>
        <w:t>33.2.</w:t>
      </w:r>
      <w:r w:rsidRPr="00AE5879">
        <w:rPr>
          <w:rFonts w:ascii="Arial" w:hAnsi="Arial" w:cs="Arial"/>
          <w:i/>
          <w:sz w:val="21"/>
          <w:szCs w:val="21"/>
        </w:rPr>
        <w:t> Entregar los residuos de construcción y demolición, a un gestor de RCD autorizado (transportador autorizado o punto limpio), con registro vigente ante la Secretaría Distrital de Ambiente, para el caso de los gestores transportadores deberá verificar a través del uso de código QR o placa del(los) vehículo(s) que presta el servicio, la vigencia y autorización del(los) vehículo(s).</w:t>
      </w:r>
    </w:p>
    <w:p w14:paraId="74F56E53" w14:textId="77777777" w:rsidR="007E740B" w:rsidRPr="00AE5879" w:rsidRDefault="007E740B" w:rsidP="006E6961">
      <w:pPr>
        <w:jc w:val="both"/>
        <w:rPr>
          <w:rFonts w:ascii="Arial" w:hAnsi="Arial" w:cs="Arial"/>
          <w:i/>
          <w:sz w:val="21"/>
          <w:szCs w:val="21"/>
        </w:rPr>
      </w:pPr>
    </w:p>
    <w:p w14:paraId="06964B3C"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33.3.</w:t>
      </w:r>
      <w:r w:rsidRPr="00AE5879">
        <w:rPr>
          <w:rFonts w:ascii="Arial" w:hAnsi="Arial" w:cs="Arial"/>
          <w:i/>
          <w:sz w:val="21"/>
          <w:szCs w:val="21"/>
        </w:rPr>
        <w:t> Almacenar en espacio privado los RCD propios de su mejora o reforma locativa en contenedores específicos o sacos industriales, para su gestión en puntos limpios o con gestores asociados a las actividades de tratamiento o aprovechamiento según sea el caso, teniendo presente que en ningún momento se deberá utilizar el espacio público para tal fin.</w:t>
      </w:r>
    </w:p>
    <w:p w14:paraId="4ED0F19F" w14:textId="77777777" w:rsidR="007E740B" w:rsidRPr="00AE5879" w:rsidRDefault="007E740B" w:rsidP="006E6961">
      <w:pPr>
        <w:jc w:val="both"/>
        <w:rPr>
          <w:rFonts w:ascii="Arial" w:hAnsi="Arial" w:cs="Arial"/>
          <w:i/>
          <w:sz w:val="21"/>
          <w:szCs w:val="21"/>
        </w:rPr>
      </w:pPr>
    </w:p>
    <w:p w14:paraId="40D23CC6"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33.4.</w:t>
      </w:r>
      <w:r w:rsidRPr="00AE5879">
        <w:rPr>
          <w:rFonts w:ascii="Arial" w:hAnsi="Arial" w:cs="Arial"/>
          <w:i/>
          <w:sz w:val="21"/>
          <w:szCs w:val="21"/>
        </w:rPr>
        <w:t> Coordinar entre el generador y el gestor autorizado el horario y sitio de presentación de los RCD, teniendo presente que en ningún momento se deberá utilizar el espacio público para tal fin.</w:t>
      </w:r>
    </w:p>
    <w:p w14:paraId="5C7253DE" w14:textId="77777777" w:rsidR="007E740B" w:rsidRPr="00AE5879" w:rsidRDefault="007E740B" w:rsidP="006E6961">
      <w:pPr>
        <w:jc w:val="both"/>
        <w:rPr>
          <w:rFonts w:ascii="Arial" w:hAnsi="Arial" w:cs="Arial"/>
          <w:i/>
          <w:sz w:val="21"/>
          <w:szCs w:val="21"/>
        </w:rPr>
      </w:pPr>
    </w:p>
    <w:p w14:paraId="2908409E"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33.5.</w:t>
      </w:r>
      <w:r w:rsidRPr="00AE5879">
        <w:rPr>
          <w:rFonts w:ascii="Arial" w:hAnsi="Arial" w:cs="Arial"/>
          <w:i/>
          <w:sz w:val="21"/>
          <w:szCs w:val="21"/>
        </w:rPr>
        <w:t> Cumplir con las normas de almacenamiento y entrega de RCD que establezca la propiedad horizontal.</w:t>
      </w:r>
    </w:p>
    <w:p w14:paraId="3CA3C67D" w14:textId="77777777" w:rsidR="007E740B" w:rsidRPr="00AE5879" w:rsidRDefault="007E740B" w:rsidP="006E6961">
      <w:pPr>
        <w:jc w:val="both"/>
        <w:rPr>
          <w:rFonts w:ascii="Arial" w:hAnsi="Arial" w:cs="Arial"/>
          <w:i/>
          <w:sz w:val="21"/>
          <w:szCs w:val="21"/>
        </w:rPr>
      </w:pPr>
    </w:p>
    <w:p w14:paraId="7202821F"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33.6.</w:t>
      </w:r>
      <w:r w:rsidRPr="00AE5879">
        <w:rPr>
          <w:rFonts w:ascii="Arial" w:hAnsi="Arial" w:cs="Arial"/>
          <w:i/>
          <w:sz w:val="21"/>
          <w:szCs w:val="21"/>
        </w:rPr>
        <w:t> Presentar, en caso de que la autoridad ambiental lo requiera, las constancias provisionales del gestor de transporte o punto limpio autorizado por la Secretaría Distrital de Ambiente.</w:t>
      </w:r>
    </w:p>
    <w:p w14:paraId="6546E1DC" w14:textId="77777777" w:rsidR="007E740B" w:rsidRPr="00AE5879" w:rsidRDefault="007E740B" w:rsidP="006E6961">
      <w:pPr>
        <w:jc w:val="both"/>
        <w:rPr>
          <w:rFonts w:ascii="Arial" w:hAnsi="Arial" w:cs="Arial"/>
          <w:i/>
          <w:sz w:val="21"/>
          <w:szCs w:val="21"/>
        </w:rPr>
      </w:pPr>
    </w:p>
    <w:p w14:paraId="6B53A5D6"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33.7.</w:t>
      </w:r>
      <w:r w:rsidRPr="00AE5879">
        <w:rPr>
          <w:rFonts w:ascii="Arial" w:hAnsi="Arial" w:cs="Arial"/>
          <w:i/>
          <w:sz w:val="21"/>
          <w:szCs w:val="21"/>
        </w:rPr>
        <w:t> Cumplir con la guía ambiental para el sector de la construcción expedida por la Secretaría Distrital de Ambiente o el instrumento que lo modifique o sustituya.</w:t>
      </w:r>
    </w:p>
    <w:p w14:paraId="030DF8AF" w14:textId="77777777" w:rsidR="007E740B" w:rsidRPr="00AE5879" w:rsidRDefault="007E740B" w:rsidP="006E6961">
      <w:pPr>
        <w:jc w:val="both"/>
        <w:rPr>
          <w:rFonts w:ascii="Arial" w:hAnsi="Arial" w:cs="Arial"/>
          <w:i/>
          <w:sz w:val="21"/>
          <w:szCs w:val="21"/>
        </w:rPr>
      </w:pPr>
    </w:p>
    <w:p w14:paraId="4A0A0174"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33.8.</w:t>
      </w:r>
      <w:r w:rsidRPr="00AE5879">
        <w:rPr>
          <w:rFonts w:ascii="Arial" w:hAnsi="Arial" w:cs="Arial"/>
          <w:i/>
          <w:sz w:val="21"/>
          <w:szCs w:val="21"/>
        </w:rPr>
        <w:t xml:space="preserve"> Garantizar que el personal operativo de obra que manipula RCD cuente con la certificación de competencia laboral en “Separar escombros según procedimiento técnico y normativa ambiental”, expedida por el SENA o cualquier otro establecimiento acreditado o certificado, para </w:t>
      </w:r>
      <w:r w:rsidRPr="00AE5879">
        <w:rPr>
          <w:rFonts w:ascii="Arial" w:hAnsi="Arial" w:cs="Arial"/>
          <w:i/>
          <w:sz w:val="21"/>
          <w:szCs w:val="21"/>
        </w:rPr>
        <w:lastRenderedPageBreak/>
        <w:t>ello se dará un periodo de transición de dos (2) años después de expedida la presente norma (…)”</w:t>
      </w:r>
    </w:p>
    <w:p w14:paraId="7CE69B9A" w14:textId="77777777" w:rsidR="007E740B" w:rsidRPr="00AE5879" w:rsidRDefault="007E740B" w:rsidP="006E6961">
      <w:pPr>
        <w:jc w:val="both"/>
        <w:rPr>
          <w:rFonts w:ascii="Arial" w:hAnsi="Arial" w:cs="Arial"/>
          <w:i/>
          <w:sz w:val="21"/>
          <w:szCs w:val="21"/>
        </w:rPr>
      </w:pPr>
    </w:p>
    <w:p w14:paraId="35EC5955" w14:textId="77777777" w:rsidR="007E740B" w:rsidRPr="00AE5879" w:rsidRDefault="007E740B" w:rsidP="006E6961">
      <w:pPr>
        <w:numPr>
          <w:ilvl w:val="0"/>
          <w:numId w:val="2"/>
        </w:numPr>
        <w:jc w:val="both"/>
        <w:rPr>
          <w:rFonts w:ascii="Arial" w:hAnsi="Arial" w:cs="Arial"/>
          <w:sz w:val="21"/>
          <w:szCs w:val="21"/>
          <w:lang w:val="es-CO"/>
        </w:rPr>
      </w:pPr>
      <w:r w:rsidRPr="00AE5879">
        <w:rPr>
          <w:rFonts w:ascii="Arial" w:hAnsi="Arial" w:cs="Arial"/>
          <w:sz w:val="21"/>
          <w:szCs w:val="21"/>
          <w:lang w:val="es-CO"/>
        </w:rPr>
        <w:t>En caso de que la obra se encuentra catalogada como grande o pequeño generador que requiere licencia de construcción deberá cumplir obligatoriamente con los porcentajes de aprovechamiento y circularidad establecidos en los artículos 44° y 46° del Decreto 507 de 2023.</w:t>
      </w:r>
    </w:p>
    <w:p w14:paraId="472BEB6B" w14:textId="77777777" w:rsidR="007E740B" w:rsidRPr="00AE5879" w:rsidRDefault="007E740B" w:rsidP="006E6961">
      <w:pPr>
        <w:jc w:val="both"/>
        <w:rPr>
          <w:rFonts w:ascii="Arial" w:hAnsi="Arial" w:cs="Arial"/>
          <w:sz w:val="21"/>
          <w:szCs w:val="21"/>
          <w:lang w:val="es-CO"/>
        </w:rPr>
      </w:pPr>
    </w:p>
    <w:p w14:paraId="7AF34408" w14:textId="77777777" w:rsidR="007E740B" w:rsidRPr="00AE5879" w:rsidRDefault="007E740B" w:rsidP="006E6961">
      <w:pPr>
        <w:numPr>
          <w:ilvl w:val="0"/>
          <w:numId w:val="4"/>
        </w:numPr>
        <w:jc w:val="both"/>
        <w:rPr>
          <w:rFonts w:ascii="Arial" w:hAnsi="Arial" w:cs="Arial"/>
          <w:b/>
          <w:i/>
          <w:sz w:val="21"/>
          <w:szCs w:val="21"/>
          <w:lang w:val="es-CO"/>
        </w:rPr>
      </w:pPr>
      <w:r w:rsidRPr="00AE5879">
        <w:rPr>
          <w:rFonts w:ascii="Arial" w:hAnsi="Arial" w:cs="Arial"/>
          <w:b/>
          <w:i/>
          <w:sz w:val="21"/>
          <w:szCs w:val="21"/>
          <w:lang w:val="es-CO"/>
        </w:rPr>
        <w:t>Metas de aprovechamiento de RCD. </w:t>
      </w:r>
    </w:p>
    <w:p w14:paraId="6185D0C7" w14:textId="77777777" w:rsidR="007E740B" w:rsidRDefault="007E740B" w:rsidP="006E6961">
      <w:pPr>
        <w:jc w:val="both"/>
        <w:rPr>
          <w:rFonts w:ascii="Arial" w:hAnsi="Arial" w:cs="Arial"/>
          <w:b/>
          <w:i/>
          <w:sz w:val="21"/>
          <w:szCs w:val="21"/>
        </w:rPr>
      </w:pPr>
    </w:p>
    <w:p w14:paraId="65A75575" w14:textId="77777777" w:rsidR="007E740B" w:rsidRPr="00AE5879" w:rsidRDefault="007E740B" w:rsidP="006E6961">
      <w:pPr>
        <w:jc w:val="both"/>
        <w:rPr>
          <w:rFonts w:ascii="Arial" w:hAnsi="Arial" w:cs="Arial"/>
          <w:i/>
          <w:sz w:val="21"/>
          <w:szCs w:val="21"/>
        </w:rPr>
      </w:pPr>
      <w:r w:rsidRPr="00AE5879">
        <w:rPr>
          <w:rFonts w:ascii="Arial" w:hAnsi="Arial" w:cs="Arial"/>
          <w:b/>
          <w:i/>
          <w:sz w:val="21"/>
          <w:szCs w:val="21"/>
        </w:rPr>
        <w:t>“(…) Artículo 44.</w:t>
      </w:r>
      <w:r w:rsidRPr="00AE5879">
        <w:rPr>
          <w:rFonts w:ascii="Arial" w:hAnsi="Arial" w:cs="Arial"/>
          <w:i/>
          <w:sz w:val="21"/>
          <w:szCs w:val="21"/>
        </w:rPr>
        <w:t> </w:t>
      </w:r>
      <w:r w:rsidRPr="00AE5879">
        <w:rPr>
          <w:rFonts w:ascii="Arial" w:hAnsi="Arial" w:cs="Arial"/>
          <w:b/>
          <w:i/>
          <w:sz w:val="21"/>
          <w:szCs w:val="21"/>
        </w:rPr>
        <w:t>Metas de aprovechamiento de RCD. </w:t>
      </w:r>
      <w:r w:rsidRPr="00AE5879">
        <w:rPr>
          <w:rFonts w:ascii="Arial" w:hAnsi="Arial" w:cs="Arial"/>
          <w:i/>
          <w:sz w:val="21"/>
          <w:szCs w:val="21"/>
        </w:rPr>
        <w:t xml:space="preserve">Los grandes generadores y pequeños generadores que requieran alguna de las licencias que se relacionan en los numerales 3.12 y 3.18 del artículo 3º del presente acto administrativo, </w:t>
      </w:r>
      <w:r w:rsidRPr="00AE5879">
        <w:rPr>
          <w:rFonts w:ascii="Arial" w:hAnsi="Arial" w:cs="Arial"/>
          <w:i/>
          <w:sz w:val="21"/>
          <w:szCs w:val="21"/>
          <w:u w:val="single"/>
        </w:rPr>
        <w:t>deberán promover el aprovechamiento efectivo de un porcentaje del peso total de los residuos de construcción y demolición (RCD) generados en la obra, según lo dispuesto en la siguiente Tabla</w:t>
      </w:r>
      <w:r w:rsidRPr="00AE5879">
        <w:rPr>
          <w:rFonts w:ascii="Arial" w:hAnsi="Arial" w:cs="Arial"/>
          <w:i/>
          <w:sz w:val="21"/>
          <w:szCs w:val="21"/>
        </w:rPr>
        <w:t>.</w:t>
      </w:r>
    </w:p>
    <w:p w14:paraId="5F864A4F" w14:textId="77777777" w:rsidR="007E740B" w:rsidRPr="00AE5879" w:rsidRDefault="007E740B" w:rsidP="006E6961">
      <w:pPr>
        <w:jc w:val="both"/>
        <w:rPr>
          <w:rFonts w:ascii="Arial" w:hAnsi="Arial" w:cs="Arial"/>
          <w:i/>
          <w:sz w:val="21"/>
          <w:szCs w:val="21"/>
        </w:rPr>
      </w:pPr>
    </w:p>
    <w:tbl>
      <w:tblPr>
        <w:tblStyle w:val="Tablaconcuadrcula"/>
        <w:tblW w:w="5634" w:type="dxa"/>
        <w:jc w:val="center"/>
        <w:tblLook w:val="04A0" w:firstRow="1" w:lastRow="0" w:firstColumn="1" w:lastColumn="0" w:noHBand="0" w:noVBand="1"/>
      </w:tblPr>
      <w:tblGrid>
        <w:gridCol w:w="2216"/>
        <w:gridCol w:w="3418"/>
      </w:tblGrid>
      <w:tr w:rsidR="007E740B" w:rsidRPr="00AE5879" w14:paraId="6CAA6F2C" w14:textId="77777777" w:rsidTr="0045144B">
        <w:trPr>
          <w:trHeight w:val="58"/>
          <w:jc w:val="center"/>
        </w:trPr>
        <w:tc>
          <w:tcPr>
            <w:tcW w:w="22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DDAC9D" w14:textId="77777777" w:rsidR="007E740B" w:rsidRPr="00AE5879" w:rsidRDefault="007E740B" w:rsidP="006E6961">
            <w:pPr>
              <w:jc w:val="both"/>
              <w:rPr>
                <w:rFonts w:ascii="Arial" w:hAnsi="Arial" w:cs="Arial"/>
                <w:b/>
                <w:bCs/>
                <w:i/>
                <w:iCs/>
                <w:sz w:val="21"/>
                <w:szCs w:val="21"/>
              </w:rPr>
            </w:pPr>
            <w:r w:rsidRPr="00AE5879">
              <w:rPr>
                <w:rFonts w:ascii="Arial" w:hAnsi="Arial" w:cs="Arial"/>
                <w:b/>
                <w:bCs/>
                <w:i/>
                <w:iCs/>
                <w:sz w:val="21"/>
                <w:szCs w:val="21"/>
              </w:rPr>
              <w:t>Meta (%)</w:t>
            </w:r>
          </w:p>
        </w:tc>
        <w:tc>
          <w:tcPr>
            <w:tcW w:w="3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33DCCC" w14:textId="77777777" w:rsidR="007E740B" w:rsidRPr="00AE5879" w:rsidRDefault="007E740B" w:rsidP="006E6961">
            <w:pPr>
              <w:jc w:val="both"/>
              <w:rPr>
                <w:rFonts w:ascii="Arial" w:hAnsi="Arial" w:cs="Arial"/>
                <w:b/>
                <w:bCs/>
                <w:i/>
                <w:iCs/>
                <w:sz w:val="21"/>
                <w:szCs w:val="21"/>
              </w:rPr>
            </w:pPr>
            <w:r w:rsidRPr="00AE5879">
              <w:rPr>
                <w:rFonts w:ascii="Arial" w:hAnsi="Arial" w:cs="Arial"/>
                <w:b/>
                <w:bCs/>
                <w:i/>
                <w:iCs/>
                <w:sz w:val="21"/>
                <w:szCs w:val="21"/>
              </w:rPr>
              <w:t>Fecha de cumplimiento de meta</w:t>
            </w:r>
          </w:p>
        </w:tc>
      </w:tr>
      <w:tr w:rsidR="007E740B" w:rsidRPr="00AE5879" w14:paraId="583233F7"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6177EEEE" w14:textId="77777777" w:rsidR="007E740B" w:rsidRPr="00AE5879" w:rsidRDefault="007E740B" w:rsidP="006E6961">
            <w:pPr>
              <w:jc w:val="both"/>
              <w:rPr>
                <w:rFonts w:ascii="Arial" w:hAnsi="Arial" w:cs="Arial"/>
                <w:i/>
                <w:iCs/>
                <w:sz w:val="21"/>
                <w:szCs w:val="21"/>
              </w:rPr>
            </w:pPr>
            <w:r w:rsidRPr="00AE5879">
              <w:rPr>
                <w:rFonts w:ascii="Arial" w:hAnsi="Arial" w:cs="Arial"/>
                <w:sz w:val="21"/>
                <w:szCs w:val="21"/>
              </w:rPr>
              <w:t>25%</w:t>
            </w:r>
          </w:p>
        </w:tc>
        <w:tc>
          <w:tcPr>
            <w:tcW w:w="3418" w:type="dxa"/>
            <w:tcBorders>
              <w:top w:val="single" w:sz="4" w:space="0" w:color="auto"/>
              <w:left w:val="single" w:sz="4" w:space="0" w:color="auto"/>
              <w:bottom w:val="single" w:sz="4" w:space="0" w:color="auto"/>
              <w:right w:val="single" w:sz="4" w:space="0" w:color="auto"/>
            </w:tcBorders>
            <w:vAlign w:val="center"/>
            <w:hideMark/>
          </w:tcPr>
          <w:p w14:paraId="51161BB8"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 2023</w:t>
            </w:r>
          </w:p>
        </w:tc>
      </w:tr>
      <w:tr w:rsidR="007E740B" w:rsidRPr="00AE5879" w14:paraId="5F51D922"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19006792" w14:textId="77777777" w:rsidR="007E740B" w:rsidRPr="00AE5879" w:rsidRDefault="007E740B" w:rsidP="006E6961">
            <w:pPr>
              <w:jc w:val="both"/>
              <w:rPr>
                <w:rFonts w:ascii="Arial" w:hAnsi="Arial" w:cs="Arial"/>
                <w:i/>
                <w:iCs/>
                <w:sz w:val="21"/>
                <w:szCs w:val="21"/>
              </w:rPr>
            </w:pPr>
            <w:r w:rsidRPr="00AE5879">
              <w:rPr>
                <w:rFonts w:ascii="Arial" w:hAnsi="Arial" w:cs="Arial"/>
                <w:sz w:val="21"/>
                <w:szCs w:val="21"/>
              </w:rPr>
              <w:t>30%</w:t>
            </w:r>
          </w:p>
        </w:tc>
        <w:tc>
          <w:tcPr>
            <w:tcW w:w="3418" w:type="dxa"/>
            <w:tcBorders>
              <w:top w:val="single" w:sz="4" w:space="0" w:color="auto"/>
              <w:left w:val="single" w:sz="4" w:space="0" w:color="auto"/>
              <w:bottom w:val="single" w:sz="4" w:space="0" w:color="auto"/>
              <w:right w:val="single" w:sz="4" w:space="0" w:color="auto"/>
            </w:tcBorders>
            <w:vAlign w:val="center"/>
            <w:hideMark/>
          </w:tcPr>
          <w:p w14:paraId="3F92018A"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 xml:space="preserve">1° de enero de </w:t>
            </w:r>
            <w:r w:rsidRPr="00AE5879">
              <w:rPr>
                <w:rFonts w:ascii="Arial" w:hAnsi="Arial" w:cs="Arial"/>
                <w:sz w:val="21"/>
                <w:szCs w:val="21"/>
              </w:rPr>
              <w:t>2024</w:t>
            </w:r>
          </w:p>
        </w:tc>
      </w:tr>
      <w:tr w:rsidR="007E740B" w:rsidRPr="00AE5879" w14:paraId="09CABC6E"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6203CA90" w14:textId="77777777" w:rsidR="007E740B" w:rsidRPr="00AE5879" w:rsidRDefault="007E740B" w:rsidP="006E6961">
            <w:pPr>
              <w:jc w:val="both"/>
              <w:rPr>
                <w:rFonts w:ascii="Arial" w:hAnsi="Arial" w:cs="Arial"/>
                <w:i/>
                <w:iCs/>
                <w:sz w:val="21"/>
                <w:szCs w:val="21"/>
              </w:rPr>
            </w:pPr>
            <w:r w:rsidRPr="00AE5879">
              <w:rPr>
                <w:rFonts w:ascii="Arial" w:hAnsi="Arial" w:cs="Arial"/>
                <w:sz w:val="21"/>
                <w:szCs w:val="21"/>
              </w:rPr>
              <w:t>40%</w:t>
            </w:r>
          </w:p>
        </w:tc>
        <w:tc>
          <w:tcPr>
            <w:tcW w:w="3418" w:type="dxa"/>
            <w:tcBorders>
              <w:top w:val="single" w:sz="4" w:space="0" w:color="auto"/>
              <w:left w:val="single" w:sz="4" w:space="0" w:color="auto"/>
              <w:bottom w:val="single" w:sz="4" w:space="0" w:color="auto"/>
              <w:right w:val="single" w:sz="4" w:space="0" w:color="auto"/>
            </w:tcBorders>
            <w:vAlign w:val="center"/>
            <w:hideMark/>
          </w:tcPr>
          <w:p w14:paraId="467ECEA7"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 xml:space="preserve">1° de enero de </w:t>
            </w:r>
            <w:r w:rsidRPr="00AE5879">
              <w:rPr>
                <w:rFonts w:ascii="Arial" w:hAnsi="Arial" w:cs="Arial"/>
                <w:sz w:val="21"/>
                <w:szCs w:val="21"/>
              </w:rPr>
              <w:t>2025</w:t>
            </w:r>
          </w:p>
        </w:tc>
      </w:tr>
      <w:tr w:rsidR="007E740B" w:rsidRPr="00AE5879" w14:paraId="6F6B1C28"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41AB80AF" w14:textId="77777777" w:rsidR="007E740B" w:rsidRPr="00AE5879" w:rsidRDefault="007E740B" w:rsidP="006E6961">
            <w:pPr>
              <w:jc w:val="both"/>
              <w:rPr>
                <w:rFonts w:ascii="Arial" w:hAnsi="Arial" w:cs="Arial"/>
                <w:sz w:val="21"/>
                <w:szCs w:val="21"/>
              </w:rPr>
            </w:pPr>
            <w:r w:rsidRPr="00AE5879">
              <w:rPr>
                <w:rFonts w:ascii="Arial" w:hAnsi="Arial" w:cs="Arial"/>
                <w:sz w:val="21"/>
                <w:szCs w:val="21"/>
              </w:rPr>
              <w:t>50%</w:t>
            </w:r>
          </w:p>
        </w:tc>
        <w:tc>
          <w:tcPr>
            <w:tcW w:w="3418" w:type="dxa"/>
            <w:tcBorders>
              <w:top w:val="single" w:sz="4" w:space="0" w:color="auto"/>
              <w:left w:val="single" w:sz="4" w:space="0" w:color="auto"/>
              <w:bottom w:val="single" w:sz="4" w:space="0" w:color="auto"/>
              <w:right w:val="single" w:sz="4" w:space="0" w:color="auto"/>
            </w:tcBorders>
            <w:vAlign w:val="center"/>
            <w:hideMark/>
          </w:tcPr>
          <w:p w14:paraId="6B74804E"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 2026</w:t>
            </w:r>
          </w:p>
        </w:tc>
      </w:tr>
      <w:tr w:rsidR="007E740B" w:rsidRPr="00AE5879" w14:paraId="282310FB"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7B24130E" w14:textId="77777777" w:rsidR="007E740B" w:rsidRPr="00AE5879" w:rsidRDefault="007E740B" w:rsidP="006E6961">
            <w:pPr>
              <w:jc w:val="both"/>
              <w:rPr>
                <w:rFonts w:ascii="Arial" w:hAnsi="Arial" w:cs="Arial"/>
                <w:sz w:val="21"/>
                <w:szCs w:val="21"/>
              </w:rPr>
            </w:pPr>
            <w:r w:rsidRPr="00AE5879">
              <w:rPr>
                <w:rFonts w:ascii="Arial" w:hAnsi="Arial" w:cs="Arial"/>
                <w:sz w:val="21"/>
                <w:szCs w:val="21"/>
              </w:rPr>
              <w:t>55%</w:t>
            </w:r>
          </w:p>
        </w:tc>
        <w:tc>
          <w:tcPr>
            <w:tcW w:w="3418" w:type="dxa"/>
            <w:tcBorders>
              <w:top w:val="single" w:sz="4" w:space="0" w:color="auto"/>
              <w:left w:val="single" w:sz="4" w:space="0" w:color="auto"/>
              <w:bottom w:val="single" w:sz="4" w:space="0" w:color="auto"/>
              <w:right w:val="single" w:sz="4" w:space="0" w:color="auto"/>
            </w:tcBorders>
            <w:vAlign w:val="center"/>
            <w:hideMark/>
          </w:tcPr>
          <w:p w14:paraId="31FBE8E9"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 2027</w:t>
            </w:r>
          </w:p>
        </w:tc>
      </w:tr>
      <w:tr w:rsidR="007E740B" w:rsidRPr="00AE5879" w14:paraId="60B42630"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644F3AF5" w14:textId="77777777" w:rsidR="007E740B" w:rsidRPr="00AE5879" w:rsidRDefault="007E740B" w:rsidP="006E6961">
            <w:pPr>
              <w:jc w:val="both"/>
              <w:rPr>
                <w:rFonts w:ascii="Arial" w:hAnsi="Arial" w:cs="Arial"/>
                <w:sz w:val="21"/>
                <w:szCs w:val="21"/>
              </w:rPr>
            </w:pPr>
            <w:r w:rsidRPr="00AE5879">
              <w:rPr>
                <w:rFonts w:ascii="Arial" w:hAnsi="Arial" w:cs="Arial"/>
                <w:sz w:val="21"/>
                <w:szCs w:val="21"/>
              </w:rPr>
              <w:t>60%</w:t>
            </w:r>
          </w:p>
        </w:tc>
        <w:tc>
          <w:tcPr>
            <w:tcW w:w="3418" w:type="dxa"/>
            <w:tcBorders>
              <w:top w:val="single" w:sz="4" w:space="0" w:color="auto"/>
              <w:left w:val="single" w:sz="4" w:space="0" w:color="auto"/>
              <w:bottom w:val="single" w:sz="4" w:space="0" w:color="auto"/>
              <w:right w:val="single" w:sz="4" w:space="0" w:color="auto"/>
            </w:tcBorders>
            <w:vAlign w:val="center"/>
            <w:hideMark/>
          </w:tcPr>
          <w:p w14:paraId="4E95B7AC"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 2028</w:t>
            </w:r>
          </w:p>
        </w:tc>
      </w:tr>
      <w:tr w:rsidR="007E740B" w:rsidRPr="00AE5879" w14:paraId="36AD09C6"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7A29DE12" w14:textId="77777777" w:rsidR="007E740B" w:rsidRPr="00AE5879" w:rsidRDefault="007E740B" w:rsidP="006E6961">
            <w:pPr>
              <w:jc w:val="both"/>
              <w:rPr>
                <w:rFonts w:ascii="Arial" w:hAnsi="Arial" w:cs="Arial"/>
                <w:sz w:val="21"/>
                <w:szCs w:val="21"/>
              </w:rPr>
            </w:pPr>
            <w:r w:rsidRPr="00AE5879">
              <w:rPr>
                <w:rFonts w:ascii="Arial" w:hAnsi="Arial" w:cs="Arial"/>
                <w:sz w:val="21"/>
                <w:szCs w:val="21"/>
              </w:rPr>
              <w:t>70%</w:t>
            </w:r>
          </w:p>
        </w:tc>
        <w:tc>
          <w:tcPr>
            <w:tcW w:w="3418" w:type="dxa"/>
            <w:tcBorders>
              <w:top w:val="single" w:sz="4" w:space="0" w:color="auto"/>
              <w:left w:val="single" w:sz="4" w:space="0" w:color="auto"/>
              <w:bottom w:val="single" w:sz="4" w:space="0" w:color="auto"/>
              <w:right w:val="single" w:sz="4" w:space="0" w:color="auto"/>
            </w:tcBorders>
            <w:vAlign w:val="center"/>
            <w:hideMark/>
          </w:tcPr>
          <w:p w14:paraId="33394230"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de2029</w:t>
            </w:r>
          </w:p>
        </w:tc>
      </w:tr>
      <w:tr w:rsidR="007E740B" w:rsidRPr="00AE5879" w14:paraId="07159A28" w14:textId="77777777" w:rsidTr="0045144B">
        <w:trPr>
          <w:trHeight w:val="262"/>
          <w:jc w:val="center"/>
        </w:trPr>
        <w:tc>
          <w:tcPr>
            <w:tcW w:w="2216" w:type="dxa"/>
            <w:tcBorders>
              <w:top w:val="single" w:sz="4" w:space="0" w:color="auto"/>
              <w:left w:val="single" w:sz="4" w:space="0" w:color="auto"/>
              <w:bottom w:val="single" w:sz="4" w:space="0" w:color="auto"/>
              <w:right w:val="single" w:sz="4" w:space="0" w:color="auto"/>
            </w:tcBorders>
            <w:vAlign w:val="center"/>
            <w:hideMark/>
          </w:tcPr>
          <w:p w14:paraId="275CBEB5" w14:textId="77777777" w:rsidR="007E740B" w:rsidRPr="00AE5879" w:rsidRDefault="007E740B" w:rsidP="006E6961">
            <w:pPr>
              <w:jc w:val="both"/>
              <w:rPr>
                <w:rFonts w:ascii="Arial" w:hAnsi="Arial" w:cs="Arial"/>
                <w:sz w:val="21"/>
                <w:szCs w:val="21"/>
              </w:rPr>
            </w:pPr>
            <w:r w:rsidRPr="00AE5879">
              <w:rPr>
                <w:rFonts w:ascii="Arial" w:hAnsi="Arial" w:cs="Arial"/>
                <w:sz w:val="21"/>
                <w:szCs w:val="21"/>
              </w:rPr>
              <w:t>75%</w:t>
            </w:r>
          </w:p>
        </w:tc>
        <w:tc>
          <w:tcPr>
            <w:tcW w:w="3418" w:type="dxa"/>
            <w:tcBorders>
              <w:top w:val="single" w:sz="4" w:space="0" w:color="auto"/>
              <w:left w:val="single" w:sz="4" w:space="0" w:color="auto"/>
              <w:bottom w:val="single" w:sz="4" w:space="0" w:color="auto"/>
              <w:right w:val="single" w:sz="4" w:space="0" w:color="auto"/>
            </w:tcBorders>
            <w:vAlign w:val="center"/>
            <w:hideMark/>
          </w:tcPr>
          <w:p w14:paraId="2C0CEE10" w14:textId="77777777" w:rsidR="007E740B" w:rsidRPr="00AE5879" w:rsidRDefault="007E740B" w:rsidP="006E6961">
            <w:pPr>
              <w:jc w:val="both"/>
              <w:rPr>
                <w:rFonts w:ascii="Arial" w:hAnsi="Arial" w:cs="Arial"/>
                <w:i/>
                <w:iCs/>
                <w:sz w:val="21"/>
                <w:szCs w:val="21"/>
              </w:rPr>
            </w:pPr>
            <w:r w:rsidRPr="00AE5879">
              <w:rPr>
                <w:rFonts w:ascii="Arial" w:hAnsi="Arial" w:cs="Arial"/>
                <w:i/>
                <w:iCs/>
                <w:sz w:val="21"/>
                <w:szCs w:val="21"/>
              </w:rPr>
              <w:t>1° de enero de 2030</w:t>
            </w:r>
          </w:p>
        </w:tc>
      </w:tr>
    </w:tbl>
    <w:p w14:paraId="62C7A8CD" w14:textId="77777777" w:rsidR="007E740B" w:rsidRPr="00AE5879" w:rsidRDefault="007E740B" w:rsidP="006E6961">
      <w:pPr>
        <w:jc w:val="both"/>
        <w:rPr>
          <w:rFonts w:ascii="Arial" w:hAnsi="Arial" w:cs="Arial"/>
          <w:i/>
          <w:sz w:val="21"/>
          <w:szCs w:val="21"/>
        </w:rPr>
      </w:pPr>
    </w:p>
    <w:p w14:paraId="20A3AA20"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u w:val="single"/>
        </w:rPr>
        <w:t>La meta de aprovechamiento es de obligatorio cumplimiento para todos los grandes generadores y pequeños generadores que requieran alguna licencia, se calculará para el año de terminación del proyecto sin tener en cuenta los productos de excavación y sobrantes de la adecuación del terreno.</w:t>
      </w:r>
      <w:r w:rsidRPr="00AE5879">
        <w:rPr>
          <w:rFonts w:ascii="Arial" w:hAnsi="Arial" w:cs="Arial"/>
          <w:i/>
          <w:sz w:val="21"/>
          <w:szCs w:val="21"/>
        </w:rPr>
        <w:t xml:space="preserve"> Lo anterior no exime al generador de la obligación de gestionar la totalidad de sus residuos y de realizar el máximo aprovechamiento posible in situ o a través de plantas de tratamiento y/o aprovechamiento, sin perjuicio del cumplimiento de las metas de aprovechamiento (…)”</w:t>
      </w:r>
    </w:p>
    <w:p w14:paraId="41C24572"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Subrayado y cursiva fuera de texto.</w:t>
      </w:r>
    </w:p>
    <w:p w14:paraId="54EF0C9E" w14:textId="77777777" w:rsidR="007E740B" w:rsidRPr="00AE5879" w:rsidRDefault="007E740B" w:rsidP="006E6961">
      <w:pPr>
        <w:jc w:val="both"/>
        <w:rPr>
          <w:rFonts w:ascii="Arial" w:hAnsi="Arial" w:cs="Arial"/>
          <w:i/>
          <w:sz w:val="21"/>
          <w:szCs w:val="21"/>
        </w:rPr>
      </w:pPr>
    </w:p>
    <w:p w14:paraId="71C3D9F2" w14:textId="77777777" w:rsidR="007E740B" w:rsidRPr="00AE5879" w:rsidRDefault="007E740B" w:rsidP="006E6961">
      <w:pPr>
        <w:numPr>
          <w:ilvl w:val="0"/>
          <w:numId w:val="4"/>
        </w:numPr>
        <w:jc w:val="both"/>
        <w:rPr>
          <w:rFonts w:ascii="Arial" w:hAnsi="Arial" w:cs="Arial"/>
          <w:b/>
          <w:i/>
          <w:sz w:val="21"/>
          <w:szCs w:val="21"/>
          <w:lang w:val="es-CO"/>
        </w:rPr>
      </w:pPr>
      <w:r w:rsidRPr="00AE5879">
        <w:rPr>
          <w:rFonts w:ascii="Arial" w:hAnsi="Arial" w:cs="Arial"/>
          <w:b/>
          <w:i/>
          <w:sz w:val="21"/>
          <w:szCs w:val="21"/>
          <w:lang w:val="es-CO"/>
        </w:rPr>
        <w:t>Metas para la circularidad en la construcción:</w:t>
      </w:r>
    </w:p>
    <w:p w14:paraId="018CFCDF" w14:textId="77777777" w:rsidR="007E740B" w:rsidRPr="00AE5879" w:rsidRDefault="007E740B" w:rsidP="006E6961">
      <w:pPr>
        <w:jc w:val="both"/>
        <w:rPr>
          <w:rFonts w:ascii="Arial" w:hAnsi="Arial" w:cs="Arial"/>
          <w:i/>
          <w:sz w:val="21"/>
          <w:szCs w:val="21"/>
          <w:u w:val="single"/>
        </w:rPr>
      </w:pPr>
      <w:r w:rsidRPr="00AE5879">
        <w:rPr>
          <w:rFonts w:ascii="Arial" w:hAnsi="Arial" w:cs="Arial"/>
          <w:b/>
          <w:bCs/>
          <w:i/>
          <w:sz w:val="21"/>
          <w:szCs w:val="21"/>
        </w:rPr>
        <w:t>“(…) Artículo</w:t>
      </w:r>
      <w:r w:rsidRPr="00AE5879">
        <w:rPr>
          <w:rFonts w:ascii="Arial" w:hAnsi="Arial" w:cs="Arial"/>
          <w:i/>
          <w:sz w:val="21"/>
          <w:szCs w:val="21"/>
        </w:rPr>
        <w:t> </w:t>
      </w:r>
      <w:r w:rsidRPr="00AE5879">
        <w:rPr>
          <w:rFonts w:ascii="Arial" w:hAnsi="Arial" w:cs="Arial"/>
          <w:b/>
          <w:bCs/>
          <w:i/>
          <w:sz w:val="21"/>
          <w:szCs w:val="21"/>
        </w:rPr>
        <w:t>46. Metas para la circularidad en la construcción: </w:t>
      </w:r>
      <w:r w:rsidRPr="00AE5879">
        <w:rPr>
          <w:rFonts w:ascii="Arial" w:hAnsi="Arial" w:cs="Arial"/>
          <w:i/>
          <w:sz w:val="21"/>
          <w:szCs w:val="21"/>
          <w:u w:val="single"/>
        </w:rPr>
        <w:t>Los grandes generadores de RCD y los pequeños generadores que requieran alguna de las licencias que se relacionan en los numerales 3.12 y 3.18 del artículo 3º del presente acto administrativo, deberán incluir desde la etapa de estudios y diseños los requerimientos técnicos necesarios con el fin de lograr las siguientes metas:</w:t>
      </w:r>
    </w:p>
    <w:p w14:paraId="18CDB67B" w14:textId="77777777" w:rsidR="007E740B" w:rsidRPr="00AE5879" w:rsidRDefault="007E740B" w:rsidP="006E6961">
      <w:pPr>
        <w:jc w:val="both"/>
        <w:rPr>
          <w:rFonts w:ascii="Arial" w:hAnsi="Arial" w:cs="Arial"/>
          <w:i/>
          <w:sz w:val="21"/>
          <w:szCs w:val="21"/>
        </w:rPr>
      </w:pPr>
    </w:p>
    <w:p w14:paraId="26DE3A65" w14:textId="77777777" w:rsidR="007E740B" w:rsidRPr="00AE5879" w:rsidRDefault="007E740B" w:rsidP="006E6961">
      <w:pPr>
        <w:jc w:val="both"/>
        <w:rPr>
          <w:rFonts w:ascii="Arial" w:hAnsi="Arial" w:cs="Arial"/>
          <w:i/>
          <w:sz w:val="21"/>
          <w:szCs w:val="21"/>
          <w:u w:val="single"/>
        </w:rPr>
      </w:pPr>
      <w:r w:rsidRPr="00AE5879">
        <w:rPr>
          <w:rFonts w:ascii="Arial" w:hAnsi="Arial" w:cs="Arial"/>
          <w:i/>
          <w:sz w:val="21"/>
          <w:szCs w:val="21"/>
        </w:rPr>
        <w:t> </w:t>
      </w:r>
      <w:r w:rsidRPr="00AE5879">
        <w:rPr>
          <w:rFonts w:ascii="Arial" w:hAnsi="Arial" w:cs="Arial"/>
          <w:b/>
          <w:bCs/>
          <w:i/>
          <w:sz w:val="21"/>
          <w:szCs w:val="21"/>
        </w:rPr>
        <w:t>46.1.</w:t>
      </w:r>
      <w:r w:rsidRPr="00AE5879">
        <w:rPr>
          <w:rFonts w:ascii="Arial" w:hAnsi="Arial" w:cs="Arial"/>
          <w:i/>
          <w:sz w:val="21"/>
          <w:szCs w:val="21"/>
        </w:rPr>
        <w:t> </w:t>
      </w:r>
      <w:r w:rsidRPr="00AE5879">
        <w:rPr>
          <w:rFonts w:ascii="Arial" w:hAnsi="Arial" w:cs="Arial"/>
          <w:i/>
          <w:sz w:val="21"/>
          <w:szCs w:val="21"/>
          <w:u w:val="single"/>
        </w:rPr>
        <w:t>En edificaciones o construcciones públicas o privadas de uso residencial, comercial, industrial, servicios o dotacional, se deberá incorporar el 5% en peso de materiales de construcción provenientes de la valorización de RCD pétreos y no pétreos definidos en la clasificación del artículo 19 de la presente norma, respecto del peso total de los materiales de construcción usados en la obra. Esta meta del 5% deberá ser cumplida a partir de la entrada en vigencia de la presente norma y se incrementará un punto porcentual anualmente hasta lograr la incorporación del 20%.</w:t>
      </w:r>
    </w:p>
    <w:p w14:paraId="3672EC07" w14:textId="77777777" w:rsidR="007E740B" w:rsidRPr="00AE5879" w:rsidRDefault="007E740B" w:rsidP="006E6961">
      <w:pPr>
        <w:jc w:val="both"/>
        <w:rPr>
          <w:rFonts w:ascii="Arial" w:hAnsi="Arial" w:cs="Arial"/>
          <w:i/>
          <w:sz w:val="21"/>
          <w:szCs w:val="21"/>
          <w:u w:val="single"/>
        </w:rPr>
      </w:pPr>
    </w:p>
    <w:p w14:paraId="71D594A1" w14:textId="77777777" w:rsidR="007E740B" w:rsidRPr="00AE5879" w:rsidRDefault="007E740B" w:rsidP="006E6961">
      <w:pPr>
        <w:jc w:val="both"/>
        <w:rPr>
          <w:rFonts w:ascii="Arial" w:hAnsi="Arial" w:cs="Arial"/>
          <w:i/>
          <w:sz w:val="21"/>
          <w:szCs w:val="21"/>
        </w:rPr>
      </w:pPr>
      <w:r w:rsidRPr="00AE5879">
        <w:rPr>
          <w:rFonts w:ascii="Arial" w:hAnsi="Arial" w:cs="Arial"/>
          <w:b/>
          <w:bCs/>
          <w:i/>
          <w:sz w:val="21"/>
          <w:szCs w:val="21"/>
        </w:rPr>
        <w:t xml:space="preserve">(…) </w:t>
      </w:r>
      <w:r w:rsidRPr="00AE5879">
        <w:rPr>
          <w:rFonts w:ascii="Arial" w:hAnsi="Arial" w:cs="Arial"/>
          <w:i/>
          <w:sz w:val="21"/>
          <w:szCs w:val="21"/>
        </w:rPr>
        <w:t>Estos porcentajes de circularidad se pueden cumplir de la siguiente manera:</w:t>
      </w:r>
    </w:p>
    <w:p w14:paraId="29B3E2F8" w14:textId="77777777" w:rsidR="007E740B" w:rsidRPr="00AE5879" w:rsidRDefault="007E740B" w:rsidP="006E6961">
      <w:pPr>
        <w:jc w:val="both"/>
        <w:rPr>
          <w:rFonts w:ascii="Arial" w:hAnsi="Arial" w:cs="Arial"/>
          <w:i/>
          <w:sz w:val="21"/>
          <w:szCs w:val="21"/>
        </w:rPr>
      </w:pPr>
    </w:p>
    <w:p w14:paraId="75170EF2" w14:textId="77777777" w:rsidR="007E740B" w:rsidRPr="00AE5879" w:rsidRDefault="007E740B" w:rsidP="006E6961">
      <w:pPr>
        <w:jc w:val="both"/>
        <w:rPr>
          <w:rFonts w:ascii="Arial" w:hAnsi="Arial" w:cs="Arial"/>
          <w:i/>
          <w:sz w:val="21"/>
          <w:szCs w:val="21"/>
        </w:rPr>
      </w:pPr>
      <w:r w:rsidRPr="00AE5879">
        <w:rPr>
          <w:rFonts w:ascii="Arial" w:hAnsi="Arial" w:cs="Arial"/>
          <w:b/>
          <w:bCs/>
          <w:i/>
          <w:sz w:val="21"/>
          <w:szCs w:val="21"/>
        </w:rPr>
        <w:lastRenderedPageBreak/>
        <w:t>46.3.</w:t>
      </w:r>
      <w:r w:rsidRPr="00AE5879">
        <w:rPr>
          <w:rFonts w:ascii="Arial" w:hAnsi="Arial" w:cs="Arial"/>
          <w:i/>
          <w:sz w:val="21"/>
          <w:szCs w:val="21"/>
        </w:rPr>
        <w:t> </w:t>
      </w:r>
      <w:r w:rsidRPr="00AE5879">
        <w:rPr>
          <w:rFonts w:ascii="Arial" w:hAnsi="Arial" w:cs="Arial"/>
          <w:i/>
          <w:sz w:val="21"/>
          <w:szCs w:val="21"/>
          <w:u w:val="single"/>
        </w:rPr>
        <w:t>Utilizar elementos o materiales de construcción elaborados a partir de residuos de construcción y demolición provenientes de proveedores registrados ante la Secretaría Distrital de Ambiente (…)</w:t>
      </w:r>
      <w:r w:rsidRPr="00AE5879">
        <w:rPr>
          <w:rFonts w:ascii="Arial" w:hAnsi="Arial" w:cs="Arial"/>
          <w:i/>
          <w:sz w:val="21"/>
          <w:szCs w:val="21"/>
        </w:rPr>
        <w:t>.” </w:t>
      </w:r>
    </w:p>
    <w:p w14:paraId="10A5455D" w14:textId="77777777" w:rsidR="007E740B" w:rsidRPr="00AE5879" w:rsidRDefault="007E740B" w:rsidP="006E6961">
      <w:pPr>
        <w:jc w:val="both"/>
        <w:rPr>
          <w:rFonts w:ascii="Arial" w:hAnsi="Arial" w:cs="Arial"/>
          <w:i/>
          <w:sz w:val="21"/>
          <w:szCs w:val="21"/>
        </w:rPr>
      </w:pPr>
      <w:r w:rsidRPr="00AE5879">
        <w:rPr>
          <w:rFonts w:ascii="Arial" w:hAnsi="Arial" w:cs="Arial"/>
          <w:i/>
          <w:sz w:val="21"/>
          <w:szCs w:val="21"/>
        </w:rPr>
        <w:t>Subrayado y cursiva fuera de texto.</w:t>
      </w:r>
    </w:p>
    <w:p w14:paraId="2F62C68B" w14:textId="77777777" w:rsidR="007E740B" w:rsidRPr="00AE5879" w:rsidRDefault="007E740B" w:rsidP="006E6961">
      <w:pPr>
        <w:jc w:val="both"/>
        <w:rPr>
          <w:rFonts w:ascii="Arial" w:hAnsi="Arial" w:cs="Arial"/>
          <w:i/>
          <w:sz w:val="21"/>
          <w:szCs w:val="21"/>
        </w:rPr>
      </w:pPr>
    </w:p>
    <w:p w14:paraId="1C14E908" w14:textId="7B67A074" w:rsidR="007E740B" w:rsidRDefault="007E740B" w:rsidP="006E6961">
      <w:pPr>
        <w:jc w:val="both"/>
      </w:pPr>
      <w:r w:rsidRPr="00AE5879">
        <w:rPr>
          <w:rFonts w:ascii="Arial" w:hAnsi="Arial" w:cs="Arial"/>
          <w:iCs/>
          <w:sz w:val="21"/>
          <w:szCs w:val="21"/>
          <w:lang w:val="es-CO"/>
        </w:rPr>
        <w:t>Cuando el proyecto finalice y no se ejerzan actividades de construcción, se deberá solicitar el cierre del PIN-GEN dentro de los 30 días hábiles siguientes a la terminación de la obra, diligenciando el anexo X. Para que este sea finalizado, debe tener el registro mensual de los reportes de disposición final y aprovechamiento con sus respectivos anexos desde el inicio de la obra hasta su finalización y haber cumplido con las metas de aprovechamiento y circularidad. Lo anterior se sustenta en el artículo 32.12 del Decreto 507 de 2023.</w:t>
      </w:r>
    </w:p>
    <w:sectPr w:rsidR="007E74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54175"/>
    <w:multiLevelType w:val="hybridMultilevel"/>
    <w:tmpl w:val="41FE2DFC"/>
    <w:lvl w:ilvl="0" w:tplc="3A9E39F6">
      <w:start w:val="1"/>
      <w:numFmt w:val="bullet"/>
      <w:lvlText w:val=""/>
      <w:lvlJc w:val="left"/>
      <w:pPr>
        <w:ind w:left="720" w:hanging="360"/>
      </w:pPr>
      <w:rPr>
        <w:rFonts w:ascii="Wingdings" w:hAnsi="Wingdings" w:hint="default"/>
      </w:rPr>
    </w:lvl>
    <w:lvl w:ilvl="1" w:tplc="1360BBE0">
      <w:start w:val="1"/>
      <w:numFmt w:val="bullet"/>
      <w:lvlText w:val="o"/>
      <w:lvlJc w:val="left"/>
      <w:pPr>
        <w:ind w:left="1440" w:hanging="360"/>
      </w:pPr>
      <w:rPr>
        <w:rFonts w:ascii="Courier New" w:hAnsi="Courier New" w:cs="Courier New" w:hint="default"/>
      </w:rPr>
    </w:lvl>
    <w:lvl w:ilvl="2" w:tplc="F3A23966">
      <w:start w:val="1"/>
      <w:numFmt w:val="bullet"/>
      <w:lvlText w:val=""/>
      <w:lvlJc w:val="left"/>
      <w:pPr>
        <w:ind w:left="2160" w:hanging="360"/>
      </w:pPr>
      <w:rPr>
        <w:rFonts w:ascii="Wingdings" w:hAnsi="Wingdings" w:hint="default"/>
      </w:rPr>
    </w:lvl>
    <w:lvl w:ilvl="3" w:tplc="81368A02">
      <w:start w:val="1"/>
      <w:numFmt w:val="bullet"/>
      <w:lvlText w:val=""/>
      <w:lvlJc w:val="left"/>
      <w:pPr>
        <w:ind w:left="2880" w:hanging="360"/>
      </w:pPr>
      <w:rPr>
        <w:rFonts w:ascii="Symbol" w:hAnsi="Symbol" w:hint="default"/>
      </w:rPr>
    </w:lvl>
    <w:lvl w:ilvl="4" w:tplc="DCA0A3D6">
      <w:start w:val="1"/>
      <w:numFmt w:val="bullet"/>
      <w:lvlText w:val="o"/>
      <w:lvlJc w:val="left"/>
      <w:pPr>
        <w:ind w:left="3600" w:hanging="360"/>
      </w:pPr>
      <w:rPr>
        <w:rFonts w:ascii="Courier New" w:hAnsi="Courier New" w:cs="Courier New" w:hint="default"/>
      </w:rPr>
    </w:lvl>
    <w:lvl w:ilvl="5" w:tplc="CBD66158">
      <w:start w:val="1"/>
      <w:numFmt w:val="bullet"/>
      <w:lvlText w:val=""/>
      <w:lvlJc w:val="left"/>
      <w:pPr>
        <w:ind w:left="4320" w:hanging="360"/>
      </w:pPr>
      <w:rPr>
        <w:rFonts w:ascii="Wingdings" w:hAnsi="Wingdings" w:hint="default"/>
      </w:rPr>
    </w:lvl>
    <w:lvl w:ilvl="6" w:tplc="E794D66A">
      <w:start w:val="1"/>
      <w:numFmt w:val="bullet"/>
      <w:lvlText w:val=""/>
      <w:lvlJc w:val="left"/>
      <w:pPr>
        <w:ind w:left="5040" w:hanging="360"/>
      </w:pPr>
      <w:rPr>
        <w:rFonts w:ascii="Symbol" w:hAnsi="Symbol" w:hint="default"/>
      </w:rPr>
    </w:lvl>
    <w:lvl w:ilvl="7" w:tplc="27FA2F46">
      <w:start w:val="1"/>
      <w:numFmt w:val="bullet"/>
      <w:lvlText w:val="o"/>
      <w:lvlJc w:val="left"/>
      <w:pPr>
        <w:ind w:left="5760" w:hanging="360"/>
      </w:pPr>
      <w:rPr>
        <w:rFonts w:ascii="Courier New" w:hAnsi="Courier New" w:cs="Courier New" w:hint="default"/>
      </w:rPr>
    </w:lvl>
    <w:lvl w:ilvl="8" w:tplc="0C1AACCC">
      <w:start w:val="1"/>
      <w:numFmt w:val="bullet"/>
      <w:lvlText w:val=""/>
      <w:lvlJc w:val="left"/>
      <w:pPr>
        <w:ind w:left="6480" w:hanging="360"/>
      </w:pPr>
      <w:rPr>
        <w:rFonts w:ascii="Wingdings" w:hAnsi="Wingdings" w:hint="default"/>
      </w:rPr>
    </w:lvl>
  </w:abstractNum>
  <w:abstractNum w:abstractNumId="1" w15:restartNumberingAfterBreak="0">
    <w:nsid w:val="235F19AE"/>
    <w:multiLevelType w:val="hybridMultilevel"/>
    <w:tmpl w:val="D58ABA6C"/>
    <w:lvl w:ilvl="0" w:tplc="4846144A">
      <w:start w:val="1"/>
      <w:numFmt w:val="bullet"/>
      <w:lvlText w:val=""/>
      <w:lvlJc w:val="left"/>
      <w:pPr>
        <w:ind w:left="720" w:hanging="360"/>
      </w:pPr>
      <w:rPr>
        <w:rFonts w:ascii="Wingdings" w:hAnsi="Wingdings" w:hint="default"/>
      </w:rPr>
    </w:lvl>
    <w:lvl w:ilvl="1" w:tplc="B492EADA">
      <w:start w:val="1"/>
      <w:numFmt w:val="bullet"/>
      <w:lvlText w:val="o"/>
      <w:lvlJc w:val="left"/>
      <w:pPr>
        <w:ind w:left="1440" w:hanging="360"/>
      </w:pPr>
      <w:rPr>
        <w:rFonts w:ascii="Courier New" w:hAnsi="Courier New" w:cs="Courier New" w:hint="default"/>
      </w:rPr>
    </w:lvl>
    <w:lvl w:ilvl="2" w:tplc="6E9E3738">
      <w:start w:val="1"/>
      <w:numFmt w:val="bullet"/>
      <w:lvlText w:val=""/>
      <w:lvlJc w:val="left"/>
      <w:pPr>
        <w:ind w:left="2160" w:hanging="360"/>
      </w:pPr>
      <w:rPr>
        <w:rFonts w:ascii="Wingdings" w:hAnsi="Wingdings" w:hint="default"/>
      </w:rPr>
    </w:lvl>
    <w:lvl w:ilvl="3" w:tplc="F1E43A24">
      <w:start w:val="1"/>
      <w:numFmt w:val="bullet"/>
      <w:lvlText w:val=""/>
      <w:lvlJc w:val="left"/>
      <w:pPr>
        <w:ind w:left="2880" w:hanging="360"/>
      </w:pPr>
      <w:rPr>
        <w:rFonts w:ascii="Symbol" w:hAnsi="Symbol" w:hint="default"/>
      </w:rPr>
    </w:lvl>
    <w:lvl w:ilvl="4" w:tplc="C5CA6A78">
      <w:start w:val="1"/>
      <w:numFmt w:val="bullet"/>
      <w:lvlText w:val="o"/>
      <w:lvlJc w:val="left"/>
      <w:pPr>
        <w:ind w:left="3600" w:hanging="360"/>
      </w:pPr>
      <w:rPr>
        <w:rFonts w:ascii="Courier New" w:hAnsi="Courier New" w:cs="Courier New" w:hint="default"/>
      </w:rPr>
    </w:lvl>
    <w:lvl w:ilvl="5" w:tplc="1C48722E">
      <w:start w:val="1"/>
      <w:numFmt w:val="bullet"/>
      <w:lvlText w:val=""/>
      <w:lvlJc w:val="left"/>
      <w:pPr>
        <w:ind w:left="4320" w:hanging="360"/>
      </w:pPr>
      <w:rPr>
        <w:rFonts w:ascii="Wingdings" w:hAnsi="Wingdings" w:hint="default"/>
      </w:rPr>
    </w:lvl>
    <w:lvl w:ilvl="6" w:tplc="B5F4D27A">
      <w:start w:val="1"/>
      <w:numFmt w:val="bullet"/>
      <w:lvlText w:val=""/>
      <w:lvlJc w:val="left"/>
      <w:pPr>
        <w:ind w:left="5040" w:hanging="360"/>
      </w:pPr>
      <w:rPr>
        <w:rFonts w:ascii="Symbol" w:hAnsi="Symbol" w:hint="default"/>
      </w:rPr>
    </w:lvl>
    <w:lvl w:ilvl="7" w:tplc="489E43B8">
      <w:start w:val="1"/>
      <w:numFmt w:val="bullet"/>
      <w:lvlText w:val="o"/>
      <w:lvlJc w:val="left"/>
      <w:pPr>
        <w:ind w:left="5760" w:hanging="360"/>
      </w:pPr>
      <w:rPr>
        <w:rFonts w:ascii="Courier New" w:hAnsi="Courier New" w:cs="Courier New" w:hint="default"/>
      </w:rPr>
    </w:lvl>
    <w:lvl w:ilvl="8" w:tplc="459CFE52">
      <w:start w:val="1"/>
      <w:numFmt w:val="bullet"/>
      <w:lvlText w:val=""/>
      <w:lvlJc w:val="left"/>
      <w:pPr>
        <w:ind w:left="6480" w:hanging="360"/>
      </w:pPr>
      <w:rPr>
        <w:rFonts w:ascii="Wingdings" w:hAnsi="Wingdings" w:hint="default"/>
      </w:rPr>
    </w:lvl>
  </w:abstractNum>
  <w:abstractNum w:abstractNumId="2" w15:restartNumberingAfterBreak="0">
    <w:nsid w:val="32095055"/>
    <w:multiLevelType w:val="multilevel"/>
    <w:tmpl w:val="DF323BB8"/>
    <w:lvl w:ilvl="0">
      <w:start w:val="1"/>
      <w:numFmt w:val="decimal"/>
      <w:lvlText w:val="%1."/>
      <w:lvlJc w:val="left"/>
      <w:pPr>
        <w:ind w:left="360" w:hanging="360"/>
      </w:pPr>
      <w:rPr>
        <w:b/>
      </w:rPr>
    </w:lvl>
    <w:lvl w:ilvl="1">
      <w:start w:val="19"/>
      <w:numFmt w:val="decimal"/>
      <w:isLgl/>
      <w:lvlText w:val="%1.%2"/>
      <w:lvlJc w:val="left"/>
      <w:pPr>
        <w:ind w:left="915" w:hanging="495"/>
      </w:pPr>
      <w:rPr>
        <w:b/>
      </w:rPr>
    </w:lvl>
    <w:lvl w:ilvl="2">
      <w:start w:val="1"/>
      <w:numFmt w:val="decimal"/>
      <w:isLgl/>
      <w:lvlText w:val="%1.%2.%3"/>
      <w:lvlJc w:val="left"/>
      <w:pPr>
        <w:ind w:left="1560" w:hanging="720"/>
      </w:pPr>
      <w:rPr>
        <w:b/>
      </w:rPr>
    </w:lvl>
    <w:lvl w:ilvl="3">
      <w:start w:val="1"/>
      <w:numFmt w:val="decimal"/>
      <w:isLgl/>
      <w:lvlText w:val="%1.%2.%3.%4"/>
      <w:lvlJc w:val="left"/>
      <w:pPr>
        <w:ind w:left="1980" w:hanging="720"/>
      </w:pPr>
      <w:rPr>
        <w:b/>
      </w:rPr>
    </w:lvl>
    <w:lvl w:ilvl="4">
      <w:start w:val="1"/>
      <w:numFmt w:val="decimal"/>
      <w:isLgl/>
      <w:lvlText w:val="%1.%2.%3.%4.%5"/>
      <w:lvlJc w:val="left"/>
      <w:pPr>
        <w:ind w:left="2760" w:hanging="1080"/>
      </w:pPr>
      <w:rPr>
        <w:b/>
      </w:rPr>
    </w:lvl>
    <w:lvl w:ilvl="5">
      <w:start w:val="1"/>
      <w:numFmt w:val="decimal"/>
      <w:isLgl/>
      <w:lvlText w:val="%1.%2.%3.%4.%5.%6"/>
      <w:lvlJc w:val="left"/>
      <w:pPr>
        <w:ind w:left="3180" w:hanging="1080"/>
      </w:pPr>
      <w:rPr>
        <w:b/>
      </w:rPr>
    </w:lvl>
    <w:lvl w:ilvl="6">
      <w:start w:val="1"/>
      <w:numFmt w:val="decimal"/>
      <w:isLgl/>
      <w:lvlText w:val="%1.%2.%3.%4.%5.%6.%7"/>
      <w:lvlJc w:val="left"/>
      <w:pPr>
        <w:ind w:left="3960" w:hanging="1440"/>
      </w:pPr>
      <w:rPr>
        <w:b/>
      </w:rPr>
    </w:lvl>
    <w:lvl w:ilvl="7">
      <w:start w:val="1"/>
      <w:numFmt w:val="decimal"/>
      <w:isLgl/>
      <w:lvlText w:val="%1.%2.%3.%4.%5.%6.%7.%8"/>
      <w:lvlJc w:val="left"/>
      <w:pPr>
        <w:ind w:left="4380" w:hanging="1440"/>
      </w:pPr>
      <w:rPr>
        <w:b/>
      </w:rPr>
    </w:lvl>
    <w:lvl w:ilvl="8">
      <w:start w:val="1"/>
      <w:numFmt w:val="decimal"/>
      <w:isLgl/>
      <w:lvlText w:val="%1.%2.%3.%4.%5.%6.%7.%8.%9"/>
      <w:lvlJc w:val="left"/>
      <w:pPr>
        <w:ind w:left="5160" w:hanging="1800"/>
      </w:pPr>
      <w:rPr>
        <w:b/>
      </w:rPr>
    </w:lvl>
  </w:abstractNum>
  <w:abstractNum w:abstractNumId="3" w15:restartNumberingAfterBreak="0">
    <w:nsid w:val="39F407CD"/>
    <w:multiLevelType w:val="hybridMultilevel"/>
    <w:tmpl w:val="B2109654"/>
    <w:lvl w:ilvl="0" w:tplc="70D2942A">
      <w:start w:val="1"/>
      <w:numFmt w:val="lowerLetter"/>
      <w:lvlText w:val="%1)"/>
      <w:lvlJc w:val="left"/>
      <w:pPr>
        <w:ind w:left="360" w:hanging="360"/>
      </w:pPr>
      <w:rPr>
        <w:b/>
        <w:bCs/>
      </w:rPr>
    </w:lvl>
    <w:lvl w:ilvl="1" w:tplc="98B87116">
      <w:start w:val="1"/>
      <w:numFmt w:val="lowerLetter"/>
      <w:lvlText w:val="%2."/>
      <w:lvlJc w:val="left"/>
      <w:pPr>
        <w:ind w:left="1080" w:hanging="360"/>
      </w:pPr>
    </w:lvl>
    <w:lvl w:ilvl="2" w:tplc="E31AF536">
      <w:start w:val="1"/>
      <w:numFmt w:val="lowerRoman"/>
      <w:lvlText w:val="%3."/>
      <w:lvlJc w:val="right"/>
      <w:pPr>
        <w:ind w:left="1800" w:hanging="180"/>
      </w:pPr>
    </w:lvl>
    <w:lvl w:ilvl="3" w:tplc="DFC298B6">
      <w:start w:val="1"/>
      <w:numFmt w:val="decimal"/>
      <w:lvlText w:val="%4."/>
      <w:lvlJc w:val="left"/>
      <w:pPr>
        <w:ind w:left="2520" w:hanging="360"/>
      </w:pPr>
    </w:lvl>
    <w:lvl w:ilvl="4" w:tplc="29340ACC">
      <w:start w:val="1"/>
      <w:numFmt w:val="lowerLetter"/>
      <w:lvlText w:val="%5."/>
      <w:lvlJc w:val="left"/>
      <w:pPr>
        <w:ind w:left="3240" w:hanging="360"/>
      </w:pPr>
    </w:lvl>
    <w:lvl w:ilvl="5" w:tplc="8F1CA782">
      <w:start w:val="1"/>
      <w:numFmt w:val="lowerRoman"/>
      <w:lvlText w:val="%6."/>
      <w:lvlJc w:val="right"/>
      <w:pPr>
        <w:ind w:left="3960" w:hanging="180"/>
      </w:pPr>
    </w:lvl>
    <w:lvl w:ilvl="6" w:tplc="D116B038">
      <w:start w:val="1"/>
      <w:numFmt w:val="decimal"/>
      <w:lvlText w:val="%7."/>
      <w:lvlJc w:val="left"/>
      <w:pPr>
        <w:ind w:left="4680" w:hanging="360"/>
      </w:pPr>
    </w:lvl>
    <w:lvl w:ilvl="7" w:tplc="F5AC5802">
      <w:start w:val="1"/>
      <w:numFmt w:val="lowerLetter"/>
      <w:lvlText w:val="%8."/>
      <w:lvlJc w:val="left"/>
      <w:pPr>
        <w:ind w:left="5400" w:hanging="360"/>
      </w:pPr>
    </w:lvl>
    <w:lvl w:ilvl="8" w:tplc="DE04DC24">
      <w:start w:val="1"/>
      <w:numFmt w:val="lowerRoman"/>
      <w:lvlText w:val="%9."/>
      <w:lvlJc w:val="right"/>
      <w:pPr>
        <w:ind w:left="6120" w:hanging="180"/>
      </w:pPr>
    </w:lvl>
  </w:abstractNum>
  <w:num w:numId="1" w16cid:durableId="1095395470">
    <w:abstractNumId w:val="2"/>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2708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4401927">
    <w:abstractNumId w:val="0"/>
    <w:lvlOverride w:ilvl="0"/>
    <w:lvlOverride w:ilvl="1"/>
    <w:lvlOverride w:ilvl="2"/>
    <w:lvlOverride w:ilvl="3"/>
    <w:lvlOverride w:ilvl="4"/>
    <w:lvlOverride w:ilvl="5"/>
    <w:lvlOverride w:ilvl="6"/>
    <w:lvlOverride w:ilvl="7"/>
    <w:lvlOverride w:ilvl="8"/>
  </w:num>
  <w:num w:numId="4" w16cid:durableId="198954805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0B"/>
    <w:rsid w:val="006E6961"/>
    <w:rsid w:val="007E740B"/>
    <w:rsid w:val="00C039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6763"/>
  <w15:chartTrackingRefBased/>
  <w15:docId w15:val="{A71F8852-7DF0-4D81-93D9-AF69CBDC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40B"/>
    <w:pPr>
      <w:spacing w:after="0" w:line="240" w:lineRule="auto"/>
    </w:pPr>
    <w:rPr>
      <w:rFonts w:ascii="Times New Roman" w:eastAsia="Times New Roman" w:hAnsi="Times New Roman" w:cs="Times New Roman"/>
      <w:kern w:val="0"/>
      <w:lang w:val="es-ES_tradnl" w:eastAsia="es-ES"/>
      <w14:ligatures w14:val="none"/>
    </w:rPr>
  </w:style>
  <w:style w:type="paragraph" w:styleId="Ttulo1">
    <w:name w:val="heading 1"/>
    <w:basedOn w:val="Normal"/>
    <w:next w:val="Normal"/>
    <w:link w:val="Ttulo1Car"/>
    <w:uiPriority w:val="9"/>
    <w:qFormat/>
    <w:rsid w:val="007E74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7E74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7E740B"/>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7E740B"/>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7E740B"/>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7E740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E740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E740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E740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740B"/>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7E740B"/>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7E740B"/>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7E740B"/>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7E740B"/>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7E740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E740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E740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E740B"/>
    <w:rPr>
      <w:rFonts w:eastAsiaTheme="majorEastAsia" w:cstheme="majorBidi"/>
      <w:color w:val="272727" w:themeColor="text1" w:themeTint="D8"/>
    </w:rPr>
  </w:style>
  <w:style w:type="paragraph" w:styleId="Ttulo">
    <w:name w:val="Title"/>
    <w:basedOn w:val="Normal"/>
    <w:next w:val="Normal"/>
    <w:link w:val="TtuloCar"/>
    <w:uiPriority w:val="10"/>
    <w:qFormat/>
    <w:rsid w:val="007E740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E740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E740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E740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E740B"/>
    <w:pPr>
      <w:spacing w:before="160"/>
      <w:jc w:val="center"/>
    </w:pPr>
    <w:rPr>
      <w:i/>
      <w:iCs/>
      <w:color w:val="404040" w:themeColor="text1" w:themeTint="BF"/>
    </w:rPr>
  </w:style>
  <w:style w:type="character" w:customStyle="1" w:styleId="CitaCar">
    <w:name w:val="Cita Car"/>
    <w:basedOn w:val="Fuentedeprrafopredeter"/>
    <w:link w:val="Cita"/>
    <w:uiPriority w:val="29"/>
    <w:rsid w:val="007E740B"/>
    <w:rPr>
      <w:i/>
      <w:iCs/>
      <w:color w:val="404040" w:themeColor="text1" w:themeTint="BF"/>
    </w:rPr>
  </w:style>
  <w:style w:type="paragraph" w:styleId="Prrafodelista">
    <w:name w:val="List Paragraph"/>
    <w:basedOn w:val="Normal"/>
    <w:uiPriority w:val="34"/>
    <w:qFormat/>
    <w:rsid w:val="007E740B"/>
    <w:pPr>
      <w:ind w:left="720"/>
      <w:contextualSpacing/>
    </w:pPr>
  </w:style>
  <w:style w:type="character" w:styleId="nfasisintenso">
    <w:name w:val="Intense Emphasis"/>
    <w:basedOn w:val="Fuentedeprrafopredeter"/>
    <w:uiPriority w:val="21"/>
    <w:qFormat/>
    <w:rsid w:val="007E740B"/>
    <w:rPr>
      <w:i/>
      <w:iCs/>
      <w:color w:val="2F5496" w:themeColor="accent1" w:themeShade="BF"/>
    </w:rPr>
  </w:style>
  <w:style w:type="paragraph" w:styleId="Citadestacada">
    <w:name w:val="Intense Quote"/>
    <w:basedOn w:val="Normal"/>
    <w:next w:val="Normal"/>
    <w:link w:val="CitadestacadaCar"/>
    <w:uiPriority w:val="30"/>
    <w:qFormat/>
    <w:rsid w:val="007E74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7E740B"/>
    <w:rPr>
      <w:i/>
      <w:iCs/>
      <w:color w:val="2F5496" w:themeColor="accent1" w:themeShade="BF"/>
    </w:rPr>
  </w:style>
  <w:style w:type="character" w:styleId="Referenciaintensa">
    <w:name w:val="Intense Reference"/>
    <w:basedOn w:val="Fuentedeprrafopredeter"/>
    <w:uiPriority w:val="32"/>
    <w:qFormat/>
    <w:rsid w:val="007E740B"/>
    <w:rPr>
      <w:b/>
      <w:bCs/>
      <w:smallCaps/>
      <w:color w:val="2F5496" w:themeColor="accent1" w:themeShade="BF"/>
      <w:spacing w:val="5"/>
    </w:rPr>
  </w:style>
  <w:style w:type="table" w:styleId="Tablaconcuadrcula">
    <w:name w:val="Table Grid"/>
    <w:aliases w:val="Capítulo 1 PMA - Tabla,Capítulo 4 PMA - Tabla,Capítulo 8 EIA - Fotografía,Casanare,Parte II PMA - Tabla,Petrominerales,SGI,SGS Table Basic 1,Tabla GEOCOL,Tabla P_1222,Tabla con cuadrícula-1,Tabla sin cuadrícula,petro,sin cuadricula"/>
    <w:basedOn w:val="Tablanormal"/>
    <w:uiPriority w:val="39"/>
    <w:qFormat/>
    <w:rsid w:val="007E740B"/>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2005</Words>
  <Characters>11030</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MAGALY PAJOY VILLA</dc:creator>
  <cp:keywords/>
  <dc:description/>
  <cp:lastModifiedBy>MAGALY PAJOY VILLA</cp:lastModifiedBy>
  <cp:revision>1</cp:revision>
  <dcterms:created xsi:type="dcterms:W3CDTF">2025-05-21T21:56:00Z</dcterms:created>
  <dcterms:modified xsi:type="dcterms:W3CDTF">2025-05-21T23:07:00Z</dcterms:modified>
</cp:coreProperties>
</file>